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60" w:rsidRPr="00ED49E2" w:rsidRDefault="00B66260" w:rsidP="0071183E">
      <w:pPr>
        <w:pStyle w:val="Nagwek1"/>
        <w:spacing w:before="240" w:after="240" w:line="360" w:lineRule="auto"/>
        <w:rPr>
          <w:rFonts w:eastAsiaTheme="majorEastAsia"/>
          <w:b/>
          <w:bCs/>
          <w:sz w:val="22"/>
          <w:szCs w:val="22"/>
          <w:lang w:eastAsia="en-US"/>
        </w:rPr>
      </w:pPr>
      <w:bookmarkStart w:id="0" w:name="_GoBack"/>
      <w:bookmarkEnd w:id="0"/>
      <w:r w:rsidRPr="00ED49E2">
        <w:rPr>
          <w:rFonts w:eastAsiaTheme="majorEastAsia"/>
          <w:b/>
          <w:bCs/>
          <w:sz w:val="22"/>
          <w:szCs w:val="22"/>
          <w:lang w:eastAsia="en-US"/>
        </w:rPr>
        <w:t>Regulamin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br/>
        <w:t>konkursu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„INNOSPIN</w:t>
      </w:r>
      <w:r w:rsidR="008C3E55">
        <w:rPr>
          <w:rFonts w:eastAsiaTheme="majorEastAsia"/>
          <w:b/>
          <w:bCs/>
          <w:sz w:val="22"/>
          <w:szCs w:val="22"/>
          <w:lang w:eastAsia="en-US"/>
        </w:rPr>
        <w:t xml:space="preserve"> EDYCJA 2024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”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–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proofErr w:type="spellStart"/>
      <w:r w:rsidRPr="00ED49E2">
        <w:rPr>
          <w:rFonts w:eastAsiaTheme="majorEastAsia"/>
          <w:b/>
          <w:bCs/>
          <w:sz w:val="22"/>
          <w:szCs w:val="22"/>
          <w:lang w:eastAsia="en-US"/>
        </w:rPr>
        <w:t>demonstratory</w:t>
      </w:r>
      <w:proofErr w:type="spellEnd"/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dla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międzyuczelnianych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zespołów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badawczych</w:t>
      </w:r>
      <w:r w:rsidR="00D827AE">
        <w:rPr>
          <w:rFonts w:eastAsiaTheme="majorEastAsia"/>
          <w:b/>
          <w:bCs/>
          <w:sz w:val="22"/>
          <w:szCs w:val="22"/>
          <w:lang w:eastAsia="en-US"/>
        </w:rPr>
        <w:t>,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organizowanego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przez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Uczelnie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Partnerskie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w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ramach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Politechnicznej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Sieci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VIA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CARPATIA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im.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Prezydenta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RP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Lecha</w:t>
      </w:r>
      <w:r w:rsidR="0071183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D49E2">
        <w:rPr>
          <w:rFonts w:eastAsiaTheme="majorEastAsia"/>
          <w:b/>
          <w:bCs/>
          <w:sz w:val="22"/>
          <w:szCs w:val="22"/>
          <w:lang w:eastAsia="en-US"/>
        </w:rPr>
        <w:t>Kaczyńskiego</w:t>
      </w:r>
      <w:r w:rsidR="0004062F">
        <w:rPr>
          <w:rFonts w:eastAsiaTheme="majorEastAsia"/>
          <w:b/>
          <w:bCs/>
          <w:sz w:val="22"/>
          <w:szCs w:val="22"/>
          <w:lang w:eastAsia="en-US"/>
        </w:rPr>
        <w:t>.</w:t>
      </w:r>
    </w:p>
    <w:p w:rsidR="00ED49E2" w:rsidRDefault="00ED49E2" w:rsidP="00ED49E2">
      <w:pPr>
        <w:spacing w:before="240" w:after="240" w:line="360" w:lineRule="auto"/>
        <w:jc w:val="center"/>
        <w:rPr>
          <w:rFonts w:ascii="Arial" w:eastAsia="Arial" w:hAnsi="Arial" w:cs="Arial"/>
          <w:b/>
        </w:rPr>
      </w:pPr>
    </w:p>
    <w:p w:rsidR="00ED49E2" w:rsidRDefault="00ED49E2" w:rsidP="00ED49E2">
      <w:pPr>
        <w:spacing w:before="240" w:after="240" w:line="360" w:lineRule="auto"/>
        <w:jc w:val="center"/>
        <w:rPr>
          <w:rFonts w:ascii="Arial" w:eastAsia="Arial" w:hAnsi="Arial" w:cs="Arial"/>
          <w:b/>
        </w:rPr>
      </w:pPr>
    </w:p>
    <w:p w:rsidR="00B66260" w:rsidRPr="00ED49E2" w:rsidRDefault="00B66260" w:rsidP="00ED49E2">
      <w:pPr>
        <w:spacing w:before="240" w:after="240" w:line="360" w:lineRule="auto"/>
        <w:jc w:val="center"/>
        <w:rPr>
          <w:rFonts w:ascii="Arial" w:eastAsia="Arial" w:hAnsi="Arial" w:cs="Arial"/>
          <w:b/>
        </w:rPr>
      </w:pPr>
      <w:r w:rsidRPr="00ED49E2">
        <w:rPr>
          <w:rFonts w:ascii="Arial" w:eastAsia="Arial" w:hAnsi="Arial" w:cs="Arial"/>
          <w:b/>
        </w:rPr>
        <w:t>§</w:t>
      </w:r>
      <w:r w:rsidR="0071183E">
        <w:rPr>
          <w:rFonts w:ascii="Arial" w:eastAsia="Arial" w:hAnsi="Arial" w:cs="Arial"/>
          <w:b/>
        </w:rPr>
        <w:t xml:space="preserve"> </w:t>
      </w:r>
      <w:r w:rsidRPr="00ED49E2">
        <w:rPr>
          <w:rFonts w:ascii="Arial" w:eastAsia="Arial" w:hAnsi="Arial" w:cs="Arial"/>
          <w:b/>
        </w:rPr>
        <w:t>1.</w:t>
      </w:r>
    </w:p>
    <w:p w:rsidR="00B66260" w:rsidRPr="00ED49E2" w:rsidRDefault="00B66260" w:rsidP="00ED49E2">
      <w:pPr>
        <w:spacing w:before="240" w:after="240" w:line="360" w:lineRule="auto"/>
        <w:jc w:val="center"/>
        <w:rPr>
          <w:rFonts w:ascii="Arial" w:eastAsia="Arial" w:hAnsi="Arial" w:cs="Arial"/>
          <w:b/>
        </w:rPr>
      </w:pPr>
      <w:r w:rsidRPr="00ED49E2">
        <w:rPr>
          <w:rFonts w:ascii="Arial" w:eastAsia="Arial" w:hAnsi="Arial" w:cs="Arial"/>
          <w:b/>
        </w:rPr>
        <w:t>Definicje</w:t>
      </w:r>
    </w:p>
    <w:p w:rsidR="00B66260" w:rsidRPr="00ED49E2" w:rsidRDefault="00B66260" w:rsidP="0071183E">
      <w:pPr>
        <w:spacing w:before="240" w:after="240" w:line="360" w:lineRule="auto"/>
        <w:ind w:firstLine="567"/>
        <w:jc w:val="both"/>
        <w:rPr>
          <w:rFonts w:ascii="Arial" w:eastAsia="Arial" w:hAnsi="Arial" w:cs="Arial"/>
        </w:rPr>
      </w:pPr>
      <w:r w:rsidRPr="00ED49E2">
        <w:rPr>
          <w:rFonts w:ascii="Arial" w:eastAsia="Arial" w:hAnsi="Arial" w:cs="Arial"/>
        </w:rPr>
        <w:t>Używane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w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niniejszym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Regulaminie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pojęcia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oznaczają:</w:t>
      </w:r>
    </w:p>
    <w:p w:rsidR="00B66260" w:rsidRPr="00ED49E2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</w:rPr>
      </w:pPr>
      <w:r w:rsidRPr="00ED49E2">
        <w:rPr>
          <w:rFonts w:ascii="Arial" w:eastAsia="Arial" w:hAnsi="Arial" w:cs="Arial"/>
        </w:rPr>
        <w:t>CTT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–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Centrum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Transferu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Technologii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albo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inny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podmiot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równoważny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powołany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="00D827AE" w:rsidRPr="00ED49E2">
        <w:rPr>
          <w:rFonts w:ascii="Arial" w:eastAsia="Arial" w:hAnsi="Arial" w:cs="Arial"/>
          <w:color w:val="000000" w:themeColor="text1"/>
        </w:rPr>
        <w:t>do</w:t>
      </w:r>
      <w:r w:rsidR="00D827AE">
        <w:rPr>
          <w:rFonts w:ascii="Arial" w:eastAsia="Arial" w:hAnsi="Arial" w:cs="Arial"/>
          <w:color w:val="000000" w:themeColor="text1"/>
        </w:rPr>
        <w:t> </w:t>
      </w:r>
      <w:r w:rsidRPr="00ED49E2">
        <w:rPr>
          <w:rFonts w:ascii="Arial" w:eastAsia="Arial" w:hAnsi="Arial" w:cs="Arial"/>
          <w:color w:val="000000" w:themeColor="text1"/>
        </w:rPr>
        <w:t>komercjalizacji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wyników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badań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naukowych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na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danej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Uczelni,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zgodnie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z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ustawą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Prawo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o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szkolnictwie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wyższym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i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nauce</w:t>
      </w:r>
      <w:r w:rsidRPr="00ED49E2">
        <w:rPr>
          <w:rFonts w:ascii="Arial" w:eastAsia="Arial" w:hAnsi="Arial" w:cs="Arial"/>
        </w:rPr>
        <w:t>;</w:t>
      </w:r>
    </w:p>
    <w:p w:rsidR="00B66260" w:rsidRPr="0004062F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</w:rPr>
      </w:pPr>
      <w:r w:rsidRPr="00ED49E2">
        <w:rPr>
          <w:rFonts w:ascii="Arial" w:eastAsia="Arial" w:hAnsi="Arial" w:cs="Arial"/>
        </w:rPr>
        <w:t>Uczelnie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Partnerskie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-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Politechnika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Rzeszowska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im.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Ignacego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Łukasiewicza,</w:t>
      </w:r>
      <w:r w:rsidR="0071183E">
        <w:rPr>
          <w:rFonts w:ascii="Arial" w:eastAsia="Arial" w:hAnsi="Arial" w:cs="Arial"/>
        </w:rPr>
        <w:t xml:space="preserve"> </w:t>
      </w:r>
      <w:r w:rsidRPr="0004062F">
        <w:rPr>
          <w:rFonts w:ascii="Arial" w:eastAsia="Arial" w:hAnsi="Arial" w:cs="Arial"/>
        </w:rPr>
        <w:t>Politechnika</w:t>
      </w:r>
      <w:r w:rsidR="0071183E" w:rsidRPr="0004062F">
        <w:rPr>
          <w:rFonts w:ascii="Arial" w:eastAsia="Arial" w:hAnsi="Arial" w:cs="Arial"/>
        </w:rPr>
        <w:t xml:space="preserve"> </w:t>
      </w:r>
      <w:r w:rsidRPr="0004062F">
        <w:rPr>
          <w:rFonts w:ascii="Arial" w:eastAsia="Arial" w:hAnsi="Arial" w:cs="Arial"/>
        </w:rPr>
        <w:t>Lubelska</w:t>
      </w:r>
      <w:r w:rsidR="0071183E" w:rsidRPr="0004062F">
        <w:rPr>
          <w:rFonts w:ascii="Arial" w:eastAsia="Arial" w:hAnsi="Arial" w:cs="Arial"/>
        </w:rPr>
        <w:t xml:space="preserve"> </w:t>
      </w:r>
      <w:r w:rsidRPr="0004062F">
        <w:rPr>
          <w:rFonts w:ascii="Arial" w:eastAsia="Arial" w:hAnsi="Arial" w:cs="Arial"/>
        </w:rPr>
        <w:t>oraz</w:t>
      </w:r>
      <w:r w:rsidR="0071183E" w:rsidRPr="0004062F">
        <w:rPr>
          <w:rFonts w:ascii="Arial" w:eastAsia="Arial" w:hAnsi="Arial" w:cs="Arial"/>
        </w:rPr>
        <w:t xml:space="preserve"> </w:t>
      </w:r>
      <w:r w:rsidRPr="0004062F">
        <w:rPr>
          <w:rFonts w:ascii="Arial" w:eastAsia="Arial" w:hAnsi="Arial" w:cs="Arial"/>
        </w:rPr>
        <w:t>Politechnika</w:t>
      </w:r>
      <w:r w:rsidR="0071183E" w:rsidRPr="0004062F">
        <w:rPr>
          <w:rFonts w:ascii="Arial" w:eastAsia="Arial" w:hAnsi="Arial" w:cs="Arial"/>
        </w:rPr>
        <w:t xml:space="preserve"> </w:t>
      </w:r>
      <w:r w:rsidRPr="0004062F">
        <w:rPr>
          <w:rFonts w:ascii="Arial" w:eastAsia="Arial" w:hAnsi="Arial" w:cs="Arial"/>
        </w:rPr>
        <w:t>Białostocka;</w:t>
      </w:r>
    </w:p>
    <w:p w:rsidR="00B66260" w:rsidRPr="0004062F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  <w:color w:val="000000" w:themeColor="text1"/>
        </w:rPr>
      </w:pPr>
      <w:r w:rsidRPr="0004062F">
        <w:rPr>
          <w:rFonts w:ascii="Arial" w:eastAsia="Arial" w:hAnsi="Arial" w:cs="Arial"/>
          <w:color w:val="000000" w:themeColor="text1"/>
        </w:rPr>
        <w:t>Zadanie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zlecone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–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zadanie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="008C3E55" w:rsidRPr="0004062F">
        <w:rPr>
          <w:rFonts w:ascii="Arial" w:eastAsia="Arial" w:hAnsi="Arial" w:cs="Arial"/>
          <w:color w:val="000000" w:themeColor="text1"/>
        </w:rPr>
        <w:t>finansowane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="008C3E55" w:rsidRPr="0004062F">
        <w:rPr>
          <w:rFonts w:ascii="Arial" w:eastAsia="Arial" w:hAnsi="Arial" w:cs="Arial"/>
          <w:color w:val="000000" w:themeColor="text1"/>
        </w:rPr>
        <w:t xml:space="preserve">w ramach zlecenia </w:t>
      </w:r>
      <w:r w:rsidRPr="0004062F">
        <w:rPr>
          <w:rFonts w:ascii="Arial" w:eastAsia="Arial" w:hAnsi="Arial" w:cs="Arial"/>
          <w:color w:val="000000" w:themeColor="text1"/>
        </w:rPr>
        <w:t>Ministra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Nauki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pn.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i/>
          <w:color w:val="000000" w:themeColor="text1"/>
        </w:rPr>
        <w:t>„Po</w:t>
      </w:r>
      <w:r w:rsidR="0071183E" w:rsidRPr="0004062F">
        <w:rPr>
          <w:rFonts w:ascii="Arial" w:eastAsia="Arial" w:hAnsi="Arial" w:cs="Arial"/>
          <w:i/>
          <w:color w:val="000000" w:themeColor="text1"/>
        </w:rPr>
        <w:t xml:space="preserve">litechniczna Sieć VIA CARPATIA im. Prezydenta RP </w:t>
      </w:r>
      <w:r w:rsidRPr="0004062F">
        <w:rPr>
          <w:rFonts w:ascii="Arial" w:eastAsia="Arial" w:hAnsi="Arial" w:cs="Arial"/>
          <w:i/>
          <w:color w:val="000000" w:themeColor="text1"/>
        </w:rPr>
        <w:t>Lecha</w:t>
      </w:r>
      <w:r w:rsidR="0071183E" w:rsidRPr="0004062F">
        <w:rPr>
          <w:rFonts w:ascii="Arial" w:eastAsia="Arial" w:hAnsi="Arial" w:cs="Arial"/>
          <w:i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i/>
          <w:color w:val="000000" w:themeColor="text1"/>
        </w:rPr>
        <w:t>Kaczyńskiego</w:t>
      </w:r>
      <w:r w:rsidR="0071183E" w:rsidRPr="0004062F">
        <w:rPr>
          <w:rFonts w:ascii="Arial" w:eastAsia="Arial" w:hAnsi="Arial" w:cs="Arial"/>
          <w:i/>
          <w:color w:val="000000" w:themeColor="text1"/>
        </w:rPr>
        <w:t xml:space="preserve">” w latach 2022-2025, kwota finansowania 10 990 546 zł </w:t>
      </w:r>
      <w:r w:rsidR="008C3E55" w:rsidRPr="0004062F">
        <w:rPr>
          <w:rFonts w:ascii="Arial" w:eastAsia="Arial" w:hAnsi="Arial" w:cs="Arial"/>
          <w:color w:val="000000" w:themeColor="text1"/>
        </w:rPr>
        <w:t xml:space="preserve">umowa nr </w:t>
      </w:r>
      <w:proofErr w:type="spellStart"/>
      <w:r w:rsidRPr="0004062F">
        <w:rPr>
          <w:rFonts w:ascii="Arial" w:eastAsia="Arial" w:hAnsi="Arial" w:cs="Arial"/>
          <w:color w:val="000000" w:themeColor="text1"/>
        </w:rPr>
        <w:t>MEiN</w:t>
      </w:r>
      <w:proofErr w:type="spellEnd"/>
      <w:r w:rsidRPr="0004062F">
        <w:rPr>
          <w:rFonts w:ascii="Arial" w:eastAsia="Arial" w:hAnsi="Arial" w:cs="Arial"/>
          <w:color w:val="000000" w:themeColor="text1"/>
        </w:rPr>
        <w:t>/2022/DPI/2578;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</w:p>
    <w:p w:rsidR="00B66260" w:rsidRPr="0004062F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  <w:color w:val="000000" w:themeColor="text1"/>
        </w:rPr>
      </w:pPr>
      <w:r w:rsidRPr="0004062F">
        <w:rPr>
          <w:rFonts w:ascii="Arial" w:eastAsia="Arial" w:hAnsi="Arial" w:cs="Arial"/>
          <w:color w:val="000000" w:themeColor="text1"/>
        </w:rPr>
        <w:t>Komercjalizacja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–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działania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podejmowane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przez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CTT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polegające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na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udostępnieniu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innym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podmiotom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wyników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prac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badawczych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i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rozwojowych,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w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celu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uzyskania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korzyści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majątkowych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przez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Uczelnię;</w:t>
      </w:r>
    </w:p>
    <w:p w:rsidR="00B66260" w:rsidRPr="00ED49E2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  <w:b/>
          <w:bCs/>
        </w:rPr>
      </w:pPr>
      <w:r w:rsidRPr="0004062F">
        <w:rPr>
          <w:rFonts w:ascii="Arial" w:eastAsia="Arial" w:hAnsi="Arial" w:cs="Arial"/>
          <w:bCs/>
          <w:color w:val="000000" w:themeColor="text1"/>
        </w:rPr>
        <w:t>Zespół</w:t>
      </w:r>
      <w:r w:rsidR="0071183E" w:rsidRPr="0004062F">
        <w:rPr>
          <w:rFonts w:ascii="Arial" w:eastAsia="Arial" w:hAnsi="Arial" w:cs="Arial"/>
          <w:bCs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</w:rPr>
        <w:t>Badawczy</w:t>
      </w:r>
      <w:r w:rsidR="0071183E" w:rsidRPr="0004062F">
        <w:rPr>
          <w:rFonts w:ascii="Arial" w:eastAsia="Arial" w:hAnsi="Arial" w:cs="Arial"/>
          <w:bCs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</w:rPr>
        <w:t>-</w:t>
      </w:r>
      <w:r w:rsidR="0071183E" w:rsidRPr="0004062F">
        <w:rPr>
          <w:rFonts w:ascii="Arial" w:eastAsia="Arial" w:hAnsi="Arial" w:cs="Arial"/>
          <w:bCs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</w:rPr>
        <w:t>zespół,</w:t>
      </w:r>
      <w:r w:rsidR="0071183E" w:rsidRPr="0004062F">
        <w:rPr>
          <w:rFonts w:ascii="Arial" w:eastAsia="Arial" w:hAnsi="Arial" w:cs="Arial"/>
          <w:bCs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</w:rPr>
        <w:t>w</w:t>
      </w:r>
      <w:r w:rsidR="0071183E" w:rsidRPr="0004062F">
        <w:rPr>
          <w:rFonts w:ascii="Arial" w:eastAsia="Arial" w:hAnsi="Arial" w:cs="Arial"/>
          <w:bCs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</w:rPr>
        <w:t>skład</w:t>
      </w:r>
      <w:r w:rsidR="0071183E" w:rsidRPr="0004062F">
        <w:rPr>
          <w:rFonts w:ascii="Arial" w:eastAsia="Arial" w:hAnsi="Arial" w:cs="Arial"/>
          <w:bCs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</w:rPr>
        <w:t>którego</w:t>
      </w:r>
      <w:r w:rsidR="0071183E" w:rsidRPr="0004062F">
        <w:rPr>
          <w:rFonts w:ascii="Arial" w:eastAsia="Arial" w:hAnsi="Arial" w:cs="Arial"/>
          <w:bCs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</w:rPr>
        <w:t>wchodzi</w:t>
      </w:r>
      <w:r w:rsidR="0071183E" w:rsidRPr="0004062F">
        <w:rPr>
          <w:rFonts w:ascii="Arial" w:eastAsia="Arial" w:hAnsi="Arial" w:cs="Arial"/>
          <w:bCs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</w:rPr>
        <w:t>co</w:t>
      </w:r>
      <w:r w:rsidR="0071183E" w:rsidRPr="0004062F">
        <w:rPr>
          <w:rFonts w:ascii="Arial" w:eastAsia="Arial" w:hAnsi="Arial" w:cs="Arial"/>
          <w:bCs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</w:rPr>
        <w:t>najmniej</w:t>
      </w:r>
      <w:r w:rsidR="0071183E" w:rsidRPr="0004062F">
        <w:rPr>
          <w:rFonts w:ascii="Arial" w:eastAsia="Arial" w:hAnsi="Arial" w:cs="Arial"/>
          <w:bCs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</w:rPr>
        <w:t>3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osoby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spośród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pracowników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badawczych,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badawczo-dydaktycznych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lub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inżynieryjno-technicznych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="00D827AE" w:rsidRPr="00ED49E2">
        <w:rPr>
          <w:rFonts w:ascii="Arial" w:eastAsia="Arial" w:hAnsi="Arial" w:cs="Arial"/>
          <w:bCs/>
          <w:color w:val="000000" w:themeColor="text1"/>
        </w:rPr>
        <w:t>z</w:t>
      </w:r>
      <w:r w:rsidR="00D827AE">
        <w:rPr>
          <w:rFonts w:ascii="Arial" w:eastAsia="Arial" w:hAnsi="Arial" w:cs="Arial"/>
          <w:bCs/>
          <w:color w:val="000000" w:themeColor="text1"/>
        </w:rPr>
        <w:t> </w:t>
      </w:r>
      <w:r w:rsidRPr="00ED49E2">
        <w:rPr>
          <w:rFonts w:ascii="Arial" w:eastAsia="Arial" w:hAnsi="Arial" w:cs="Arial"/>
          <w:bCs/>
          <w:color w:val="000000" w:themeColor="text1"/>
        </w:rPr>
        <w:t>Uczelni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Partnerskich.</w:t>
      </w:r>
      <w:r w:rsidR="0071183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Ponadto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w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skład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Zespołu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Badawczego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mogą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wchodzić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Doktoranci,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Studenci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oraz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pracownicy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dydaktyczni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Uczelni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Partnerskich.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W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skład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Zespołu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Badawczego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</w:rPr>
        <w:t>mogą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również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wchodzić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osoby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niezwiązane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Uczelnią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Partnerską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stosunkiem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pracy,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których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udział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jest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niezbędny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do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realizacji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zadań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projektowych,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pod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warunkiem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przeniesienia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autorskich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praw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majątkowych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oraz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praw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własności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przemysłowej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na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Uczelnię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Partnerską,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w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której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zatrudniony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jest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Lider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Zespołu;</w:t>
      </w:r>
    </w:p>
    <w:p w:rsidR="00B66260" w:rsidRPr="00ED49E2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</w:rPr>
      </w:pPr>
      <w:r w:rsidRPr="00ED49E2">
        <w:rPr>
          <w:rFonts w:ascii="Arial" w:eastAsia="Arial" w:hAnsi="Arial" w:cs="Arial"/>
        </w:rPr>
        <w:lastRenderedPageBreak/>
        <w:t>Lider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Zespołu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–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pracownik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badawczy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lub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badawczo-dydaktyczny,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członek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Zespołu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Badawczego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będący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pracownikiem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Uczelni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Partnerskiej,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kierujący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pracami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Zespołu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Badawczego;</w:t>
      </w:r>
      <w:r w:rsidR="0071183E">
        <w:rPr>
          <w:rFonts w:ascii="Arial" w:eastAsia="Arial" w:hAnsi="Arial" w:cs="Arial"/>
        </w:rPr>
        <w:t xml:space="preserve"> </w:t>
      </w:r>
    </w:p>
    <w:p w:rsidR="00B66260" w:rsidRPr="0004062F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  <w:color w:val="000000"/>
        </w:rPr>
      </w:pPr>
      <w:r w:rsidRPr="00ED49E2">
        <w:rPr>
          <w:rFonts w:ascii="Arial" w:eastAsia="Arial" w:hAnsi="Arial" w:cs="Arial"/>
        </w:rPr>
        <w:t>Prace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przedwdrożeniowe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–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działania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mające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na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celu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doprowadzenie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do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komercjalizacji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wyników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badań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naukowych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i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prac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rozwojowych</w:t>
      </w:r>
      <w:r w:rsidR="00D827AE">
        <w:rPr>
          <w:rFonts w:ascii="Arial" w:eastAsia="Arial" w:hAnsi="Arial" w:cs="Arial"/>
          <w:color w:val="000000" w:themeColor="text1"/>
        </w:rPr>
        <w:t>,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realizowane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w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ramach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Projektu;</w:t>
      </w:r>
      <w:r w:rsidR="0071183E" w:rsidRPr="0004062F">
        <w:rPr>
          <w:rFonts w:ascii="Arial" w:eastAsia="Arial" w:hAnsi="Arial" w:cs="Arial"/>
          <w:b/>
          <w:color w:val="000000" w:themeColor="text1"/>
        </w:rPr>
        <w:t xml:space="preserve"> </w:t>
      </w:r>
    </w:p>
    <w:p w:rsidR="00B66260" w:rsidRPr="0004062F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  <w:color w:val="000000" w:themeColor="text1"/>
        </w:rPr>
      </w:pPr>
      <w:r w:rsidRPr="0004062F">
        <w:rPr>
          <w:rFonts w:ascii="Arial" w:eastAsia="Arial" w:hAnsi="Arial" w:cs="Arial"/>
          <w:color w:val="000000" w:themeColor="text1"/>
        </w:rPr>
        <w:t>Projekt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–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praca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badawczo-rozwojowa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zmierzająca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do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podwyższenia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poziomu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gotowości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technologicznej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technologii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lub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produktu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przeznaczonego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do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komercjalizacji,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realizowana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do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30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listopada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202</w:t>
      </w:r>
      <w:r w:rsidR="008C3E55" w:rsidRPr="0004062F">
        <w:rPr>
          <w:rFonts w:ascii="Arial" w:eastAsia="Arial" w:hAnsi="Arial" w:cs="Arial"/>
          <w:color w:val="000000" w:themeColor="text1"/>
        </w:rPr>
        <w:t>4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roku;</w:t>
      </w:r>
    </w:p>
    <w:p w:rsidR="00B66260" w:rsidRPr="0004062F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  <w:color w:val="000000"/>
        </w:rPr>
      </w:pPr>
      <w:r w:rsidRPr="0004062F">
        <w:rPr>
          <w:rFonts w:ascii="Arial" w:eastAsia="Arial" w:hAnsi="Arial" w:cs="Arial"/>
          <w:color w:val="000000" w:themeColor="text1"/>
        </w:rPr>
        <w:t>Doktoranci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–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osoby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kształcące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się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w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Szkole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Doktorskiej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lub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uczestnicy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studiów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doktoranckich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prowadzonych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przez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Uczelnię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Partnerską;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</w:p>
    <w:p w:rsidR="00B66260" w:rsidRPr="0004062F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  <w:color w:val="000000"/>
        </w:rPr>
      </w:pPr>
      <w:r w:rsidRPr="0004062F">
        <w:rPr>
          <w:rFonts w:ascii="Arial" w:eastAsia="Arial" w:hAnsi="Arial" w:cs="Arial"/>
          <w:color w:val="000000" w:themeColor="text1"/>
        </w:rPr>
        <w:t>Studenci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–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osoby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kształcące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się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na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studiach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wyższych,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tj.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stacjonarnych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bądź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niestacjonarnych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studiach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pierwszego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lub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drugiego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stopnia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prowadzonych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przez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Uczelnię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  <w:r w:rsidRPr="0004062F">
        <w:rPr>
          <w:rFonts w:ascii="Arial" w:eastAsia="Arial" w:hAnsi="Arial" w:cs="Arial"/>
          <w:color w:val="000000" w:themeColor="text1"/>
        </w:rPr>
        <w:t>Partnerską;</w:t>
      </w:r>
      <w:r w:rsidR="0071183E" w:rsidRPr="0004062F">
        <w:rPr>
          <w:rFonts w:ascii="Arial" w:eastAsia="Arial" w:hAnsi="Arial" w:cs="Arial"/>
          <w:color w:val="000000" w:themeColor="text1"/>
        </w:rPr>
        <w:t xml:space="preserve"> </w:t>
      </w:r>
    </w:p>
    <w:p w:rsidR="00B66260" w:rsidRPr="00ED49E2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  <w:color w:val="000000"/>
        </w:rPr>
      </w:pPr>
      <w:r w:rsidRPr="00ED49E2">
        <w:rPr>
          <w:rFonts w:ascii="Arial" w:eastAsia="Arial" w:hAnsi="Arial" w:cs="Arial"/>
        </w:rPr>
        <w:t>Formularz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zgłoszeniowy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–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formularz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zgłoszeniowy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stanowiący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Załącznik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nr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color w:val="000000" w:themeColor="text1"/>
        </w:rPr>
        <w:t>1</w:t>
      </w:r>
      <w:r w:rsidR="0071183E">
        <w:rPr>
          <w:rFonts w:ascii="Arial" w:eastAsia="Arial" w:hAnsi="Arial" w:cs="Arial"/>
          <w:color w:val="000000" w:themeColor="text1"/>
        </w:rPr>
        <w:t xml:space="preserve"> </w:t>
      </w:r>
      <w:r w:rsidR="00D827AE" w:rsidRPr="00ED49E2">
        <w:rPr>
          <w:rFonts w:ascii="Arial" w:eastAsia="Arial" w:hAnsi="Arial" w:cs="Arial"/>
          <w:color w:val="000000" w:themeColor="text1"/>
        </w:rPr>
        <w:t>do</w:t>
      </w:r>
      <w:r w:rsidR="00D827AE">
        <w:rPr>
          <w:rFonts w:ascii="Arial" w:eastAsia="Arial" w:hAnsi="Arial" w:cs="Arial"/>
          <w:color w:val="000000" w:themeColor="text1"/>
        </w:rPr>
        <w:t> </w:t>
      </w:r>
      <w:r w:rsidRPr="00ED49E2">
        <w:rPr>
          <w:rFonts w:ascii="Arial" w:eastAsia="Arial" w:hAnsi="Arial" w:cs="Arial"/>
          <w:color w:val="000000" w:themeColor="text1"/>
        </w:rPr>
        <w:t>Regulaminu;</w:t>
      </w:r>
    </w:p>
    <w:p w:rsidR="00B66260" w:rsidRPr="00ED49E2" w:rsidRDefault="00B66260" w:rsidP="0071183E">
      <w:pPr>
        <w:pStyle w:val="Akapitzlist"/>
        <w:numPr>
          <w:ilvl w:val="0"/>
          <w:numId w:val="10"/>
        </w:numPr>
        <w:spacing w:before="240" w:after="240" w:line="360" w:lineRule="auto"/>
        <w:ind w:left="567" w:hanging="425"/>
        <w:jc w:val="both"/>
        <w:rPr>
          <w:rFonts w:ascii="Arial" w:eastAsia="Arial" w:hAnsi="Arial" w:cs="Arial"/>
        </w:rPr>
      </w:pPr>
      <w:r w:rsidRPr="00ED49E2">
        <w:rPr>
          <w:rFonts w:ascii="Arial" w:eastAsia="Arial" w:hAnsi="Arial" w:cs="Arial"/>
        </w:rPr>
        <w:t>Komisja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konkursowa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–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zespół,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w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skład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którego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wchodzi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co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najmniej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6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osób,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w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tym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co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najmniej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2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osoby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spośród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kadry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naukowej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każdej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Uczelni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Partnerskich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oraz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Prorektor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Politechniki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Rzeszowskiej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ds.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rozwoju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i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współpracy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z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otoczeniem,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jako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Przewodniczący</w:t>
      </w:r>
      <w:r w:rsidR="0071183E">
        <w:rPr>
          <w:rFonts w:ascii="Arial" w:eastAsia="Arial" w:hAnsi="Arial" w:cs="Arial"/>
        </w:rPr>
        <w:t xml:space="preserve"> </w:t>
      </w:r>
      <w:r w:rsidRPr="00ED49E2">
        <w:rPr>
          <w:rFonts w:ascii="Arial" w:eastAsia="Arial" w:hAnsi="Arial" w:cs="Arial"/>
        </w:rPr>
        <w:t>komisji.</w:t>
      </w:r>
    </w:p>
    <w:p w:rsidR="00ED49E2" w:rsidRDefault="00ED49E2" w:rsidP="00ED49E2">
      <w:pPr>
        <w:pStyle w:val="Default"/>
        <w:spacing w:before="240" w:after="240"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:rsidR="00ED49E2" w:rsidRPr="00ED49E2" w:rsidRDefault="00ED49E2" w:rsidP="00ED49E2">
      <w:pPr>
        <w:pStyle w:val="Default"/>
        <w:spacing w:before="240" w:after="240"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§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>2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.</w:t>
      </w:r>
    </w:p>
    <w:p w:rsidR="00B66260" w:rsidRPr="00ED49E2" w:rsidRDefault="00B66260" w:rsidP="00B66260">
      <w:pPr>
        <w:pStyle w:val="Default"/>
        <w:spacing w:before="240" w:after="240"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Postanowienia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ogólne</w:t>
      </w:r>
    </w:p>
    <w:p w:rsidR="00B66260" w:rsidRPr="00ED49E2" w:rsidRDefault="00B66260" w:rsidP="0071183E">
      <w:pPr>
        <w:pStyle w:val="Default"/>
        <w:numPr>
          <w:ilvl w:val="0"/>
          <w:numId w:val="6"/>
        </w:numPr>
        <w:autoSpaceDE/>
        <w:autoSpaceDN/>
        <w:adjustRightInd/>
        <w:spacing w:before="240" w:after="240" w:line="360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auto"/>
          <w:sz w:val="22"/>
          <w:szCs w:val="22"/>
        </w:rPr>
        <w:t>Niniejszy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Regulamin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określa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warunki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uczestnictwa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Działaniu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10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Zadania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zleconego,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71183E">
        <w:rPr>
          <w:rFonts w:ascii="Arial" w:eastAsia="Arial" w:hAnsi="Arial" w:cs="Arial"/>
          <w:color w:val="auto"/>
          <w:sz w:val="22"/>
          <w:szCs w:val="22"/>
        </w:rPr>
        <w:br/>
      </w:r>
      <w:r w:rsidRPr="00ED49E2">
        <w:rPr>
          <w:rFonts w:ascii="Arial" w:eastAsia="Arial" w:hAnsi="Arial" w:cs="Arial"/>
          <w:color w:val="auto"/>
          <w:sz w:val="22"/>
          <w:szCs w:val="22"/>
        </w:rPr>
        <w:t>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ramach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konkursu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„INNOSPIN</w:t>
      </w:r>
      <w:r w:rsidR="00AF54DD">
        <w:rPr>
          <w:rFonts w:ascii="Arial" w:eastAsia="Arial" w:hAnsi="Arial" w:cs="Arial"/>
          <w:color w:val="auto"/>
          <w:sz w:val="22"/>
          <w:szCs w:val="22"/>
        </w:rPr>
        <w:t xml:space="preserve"> EDYCJA 2024</w:t>
      </w:r>
      <w:r w:rsidRPr="00ED49E2">
        <w:rPr>
          <w:rFonts w:ascii="Arial" w:eastAsia="Arial" w:hAnsi="Arial" w:cs="Arial"/>
          <w:color w:val="auto"/>
          <w:sz w:val="22"/>
          <w:szCs w:val="22"/>
        </w:rPr>
        <w:t>”,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realizowanego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wspólnie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przez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Uczelnie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Partnerskie,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polegającego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na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wsparciu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realizacji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prac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przedwdrożeniowych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skutkujących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stworzeniem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demonstratorów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dla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międzyuczelnianych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zespołów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badawczych</w:t>
      </w:r>
      <w:r w:rsidR="00A302DD">
        <w:rPr>
          <w:rFonts w:ascii="Arial" w:eastAsia="Arial" w:hAnsi="Arial" w:cs="Arial"/>
          <w:color w:val="auto"/>
          <w:sz w:val="22"/>
          <w:szCs w:val="22"/>
        </w:rPr>
        <w:t xml:space="preserve"> (dalej: Konkurs)</w:t>
      </w:r>
      <w:r w:rsidRPr="00ED49E2">
        <w:rPr>
          <w:rFonts w:ascii="Arial" w:eastAsia="Arial" w:hAnsi="Arial" w:cs="Arial"/>
          <w:color w:val="auto"/>
          <w:sz w:val="22"/>
          <w:szCs w:val="22"/>
        </w:rPr>
        <w:t>.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:rsidR="00B66260" w:rsidRPr="00ED49E2" w:rsidRDefault="00B66260" w:rsidP="0071183E">
      <w:pPr>
        <w:pStyle w:val="Default"/>
        <w:numPr>
          <w:ilvl w:val="0"/>
          <w:numId w:val="6"/>
        </w:numPr>
        <w:autoSpaceDE/>
        <w:autoSpaceDN/>
        <w:adjustRightInd/>
        <w:spacing w:before="240" w:after="240" w:line="360" w:lineRule="auto"/>
        <w:ind w:left="426" w:hanging="426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D49E2">
        <w:rPr>
          <w:rFonts w:ascii="Arial" w:eastAsia="Arial" w:hAnsi="Arial" w:cs="Arial"/>
          <w:sz w:val="22"/>
          <w:szCs w:val="22"/>
        </w:rPr>
        <w:t>Jednostką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realizującą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="00A302DD">
        <w:rPr>
          <w:rFonts w:ascii="Arial" w:eastAsia="Arial" w:hAnsi="Arial" w:cs="Arial"/>
          <w:sz w:val="22"/>
          <w:szCs w:val="22"/>
        </w:rPr>
        <w:t xml:space="preserve">Konkurs </w:t>
      </w:r>
      <w:r w:rsidRPr="00ED49E2">
        <w:rPr>
          <w:rFonts w:ascii="Arial" w:eastAsia="Arial" w:hAnsi="Arial" w:cs="Arial"/>
          <w:sz w:val="22"/>
          <w:szCs w:val="22"/>
        </w:rPr>
        <w:t>wewnątrz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Uczelni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Partnerskiej,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która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zapewnia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jego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kompleksową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obsługę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organizacyjno-administracyjną,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jest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CTT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Uczelni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sz w:val="22"/>
          <w:szCs w:val="22"/>
        </w:rPr>
        <w:t>Partnerskiej.</w:t>
      </w:r>
      <w:r w:rsidR="0071183E">
        <w:rPr>
          <w:rFonts w:ascii="Arial" w:eastAsia="Arial" w:hAnsi="Arial" w:cs="Arial"/>
          <w:sz w:val="22"/>
          <w:szCs w:val="22"/>
        </w:rPr>
        <w:t xml:space="preserve"> </w:t>
      </w:r>
    </w:p>
    <w:p w:rsidR="00A302DD" w:rsidRDefault="00B66260" w:rsidP="00A302DD">
      <w:pPr>
        <w:pStyle w:val="Default"/>
        <w:numPr>
          <w:ilvl w:val="0"/>
          <w:numId w:val="6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D49E2">
        <w:rPr>
          <w:rFonts w:ascii="Arial" w:eastAsia="Arial" w:hAnsi="Arial" w:cs="Arial"/>
          <w:color w:val="auto"/>
          <w:sz w:val="22"/>
          <w:szCs w:val="22"/>
        </w:rPr>
        <w:lastRenderedPageBreak/>
        <w:t>Głównym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celem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Konkursu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jest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promocja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komercjalizacja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wyników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badań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naukowych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br/>
        <w:t>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prac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rozwojowych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jego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uczestników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oraz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nawiązywanie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współpracy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otoczeniem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społeczno-gospodarczym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Uczelni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Partnerskiej.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:rsidR="00A302DD" w:rsidRPr="00A302DD" w:rsidRDefault="00A302DD" w:rsidP="00A302DD">
      <w:pPr>
        <w:pStyle w:val="Default"/>
        <w:numPr>
          <w:ilvl w:val="0"/>
          <w:numId w:val="6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A302DD">
        <w:rPr>
          <w:rFonts w:ascii="Arial" w:hAnsi="Arial" w:cs="Arial"/>
          <w:sz w:val="22"/>
          <w:szCs w:val="22"/>
        </w:rPr>
        <w:t xml:space="preserve">Konkurs będzie realizowany pod warunkiem potwierdzenia przez Ministerstwo Nauki </w:t>
      </w:r>
      <w:r w:rsidR="00D827AE" w:rsidRPr="00A302DD">
        <w:rPr>
          <w:rFonts w:ascii="Arial" w:hAnsi="Arial" w:cs="Arial"/>
          <w:sz w:val="22"/>
          <w:szCs w:val="22"/>
        </w:rPr>
        <w:t>i</w:t>
      </w:r>
      <w:r w:rsidR="00D827AE">
        <w:rPr>
          <w:rFonts w:ascii="Arial" w:hAnsi="Arial" w:cs="Arial"/>
          <w:sz w:val="22"/>
          <w:szCs w:val="22"/>
        </w:rPr>
        <w:t> </w:t>
      </w:r>
      <w:r w:rsidRPr="00A302DD">
        <w:rPr>
          <w:rFonts w:ascii="Arial" w:hAnsi="Arial" w:cs="Arial"/>
          <w:sz w:val="22"/>
          <w:szCs w:val="22"/>
        </w:rPr>
        <w:t xml:space="preserve">Szkolnictwa Wyższego realizacji Zadania zleconego w 2024 r. i otrzymania przez Uczelnie Partnerskie środków na realizację Konkursu. </w:t>
      </w:r>
    </w:p>
    <w:p w:rsidR="00A302DD" w:rsidRPr="00A302DD" w:rsidRDefault="00A302DD" w:rsidP="0071183E">
      <w:pPr>
        <w:pStyle w:val="Default"/>
        <w:numPr>
          <w:ilvl w:val="0"/>
          <w:numId w:val="6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A302DD">
        <w:rPr>
          <w:rFonts w:ascii="Arial" w:eastAsia="Arial" w:hAnsi="Arial" w:cs="Arial"/>
          <w:color w:val="auto"/>
          <w:sz w:val="22"/>
          <w:szCs w:val="22"/>
        </w:rPr>
        <w:t xml:space="preserve">W przypadku </w:t>
      </w:r>
      <w:r>
        <w:rPr>
          <w:rFonts w:ascii="Arial" w:eastAsia="Arial" w:hAnsi="Arial" w:cs="Arial"/>
          <w:color w:val="auto"/>
          <w:sz w:val="22"/>
          <w:szCs w:val="22"/>
        </w:rPr>
        <w:t xml:space="preserve">niepotwierdzenia </w:t>
      </w:r>
      <w:r w:rsidRPr="00A302DD">
        <w:rPr>
          <w:rFonts w:ascii="Arial" w:hAnsi="Arial" w:cs="Arial"/>
          <w:sz w:val="22"/>
          <w:szCs w:val="22"/>
        </w:rPr>
        <w:t xml:space="preserve">przez Ministerstwo Nauki i Szkolnictwa Wyższego realizacji Zadania zleconego w 2024 r. i </w:t>
      </w:r>
      <w:r>
        <w:rPr>
          <w:rFonts w:ascii="Arial" w:hAnsi="Arial" w:cs="Arial"/>
          <w:sz w:val="22"/>
          <w:szCs w:val="22"/>
        </w:rPr>
        <w:t>nie</w:t>
      </w:r>
      <w:r w:rsidRPr="00A302DD">
        <w:rPr>
          <w:rFonts w:ascii="Arial" w:hAnsi="Arial" w:cs="Arial"/>
          <w:sz w:val="22"/>
          <w:szCs w:val="22"/>
        </w:rPr>
        <w:t>otrzymania przez Uczelnie Partnerskie środków na realizację Konkursu</w:t>
      </w:r>
      <w:r>
        <w:rPr>
          <w:rFonts w:ascii="Arial" w:hAnsi="Arial" w:cs="Arial"/>
          <w:sz w:val="22"/>
          <w:szCs w:val="22"/>
        </w:rPr>
        <w:t xml:space="preserve">, Konkurs zostanie odwołany, a uczestnicy Konkursy nie będą mieli </w:t>
      </w:r>
      <w:r w:rsidR="00D827AE">
        <w:rPr>
          <w:rFonts w:ascii="Arial" w:hAnsi="Arial" w:cs="Arial"/>
          <w:sz w:val="22"/>
          <w:szCs w:val="22"/>
        </w:rPr>
        <w:t xml:space="preserve">żadnych </w:t>
      </w:r>
      <w:r>
        <w:rPr>
          <w:rFonts w:ascii="Arial" w:hAnsi="Arial" w:cs="Arial"/>
          <w:sz w:val="22"/>
          <w:szCs w:val="22"/>
        </w:rPr>
        <w:t xml:space="preserve">roszczeń z tego tytułu do Uczelni Partnerskich. </w:t>
      </w:r>
    </w:p>
    <w:p w:rsidR="00B66260" w:rsidRPr="00ED49E2" w:rsidRDefault="00B66260" w:rsidP="00A302DD">
      <w:pPr>
        <w:pStyle w:val="Default"/>
        <w:spacing w:before="240" w:after="240" w:line="360" w:lineRule="auto"/>
        <w:rPr>
          <w:rFonts w:ascii="Arial" w:eastAsia="Arial" w:hAnsi="Arial" w:cs="Arial"/>
          <w:color w:val="auto"/>
          <w:sz w:val="22"/>
          <w:szCs w:val="22"/>
        </w:rPr>
      </w:pPr>
    </w:p>
    <w:p w:rsidR="00B66260" w:rsidRPr="00ED49E2" w:rsidRDefault="00B66260" w:rsidP="00B66260">
      <w:pPr>
        <w:pStyle w:val="Default"/>
        <w:spacing w:before="240" w:after="240"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§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3.</w:t>
      </w:r>
    </w:p>
    <w:p w:rsidR="00B66260" w:rsidRPr="00ED49E2" w:rsidRDefault="00B66260" w:rsidP="00B66260">
      <w:pPr>
        <w:pStyle w:val="Default"/>
        <w:spacing w:before="240" w:after="240"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Przedmiot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zgłoszenia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w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ramach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Konkursu</w:t>
      </w:r>
    </w:p>
    <w:p w:rsidR="00B66260" w:rsidRPr="0004062F" w:rsidRDefault="00B66260" w:rsidP="0071183E">
      <w:pPr>
        <w:pStyle w:val="Default"/>
        <w:numPr>
          <w:ilvl w:val="0"/>
          <w:numId w:val="7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auto"/>
          <w:sz w:val="22"/>
          <w:szCs w:val="22"/>
        </w:rPr>
        <w:t>Przedmiotem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zgłoszenia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do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Konkursu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są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wszelkie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gospodarczo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użyteczne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wyniki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badań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naukowych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lub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prac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rozwojowych,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uzyskane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Uczelni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Partnerskiej,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które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nie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zostały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dotychczas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skomercjalizowane.</w:t>
      </w:r>
    </w:p>
    <w:p w:rsidR="00B66260" w:rsidRPr="0004062F" w:rsidRDefault="00B66260" w:rsidP="0071183E">
      <w:pPr>
        <w:pStyle w:val="Default"/>
        <w:numPr>
          <w:ilvl w:val="0"/>
          <w:numId w:val="7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04062F">
        <w:rPr>
          <w:rFonts w:ascii="Arial" w:eastAsia="Arial" w:hAnsi="Arial" w:cs="Arial"/>
          <w:color w:val="auto"/>
          <w:sz w:val="22"/>
          <w:szCs w:val="22"/>
        </w:rPr>
        <w:t>Maksymalna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kwota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dofinansowania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przewidziana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dla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Zespołu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Badawczego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wynosi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D827AE" w:rsidRPr="0004062F">
        <w:rPr>
          <w:rFonts w:ascii="Arial" w:eastAsia="Arial" w:hAnsi="Arial" w:cs="Arial"/>
          <w:color w:val="auto"/>
          <w:sz w:val="22"/>
          <w:szCs w:val="22"/>
        </w:rPr>
        <w:t>100</w:t>
      </w:r>
      <w:r w:rsidR="00D827AE">
        <w:rPr>
          <w:rFonts w:ascii="Arial" w:eastAsia="Arial" w:hAnsi="Arial" w:cs="Arial"/>
          <w:color w:val="auto"/>
          <w:sz w:val="22"/>
          <w:szCs w:val="22"/>
        </w:rPr>
        <w:t> </w:t>
      </w:r>
      <w:r w:rsidRPr="0004062F">
        <w:rPr>
          <w:rFonts w:ascii="Arial" w:eastAsia="Arial" w:hAnsi="Arial" w:cs="Arial"/>
          <w:color w:val="auto"/>
          <w:sz w:val="22"/>
          <w:szCs w:val="22"/>
        </w:rPr>
        <w:t>000,00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(słownie: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sto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tysięcy)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złotych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brutto</w:t>
      </w:r>
      <w:r w:rsidR="000A3542" w:rsidRPr="0004062F">
        <w:rPr>
          <w:rFonts w:ascii="Arial" w:eastAsia="Arial" w:hAnsi="Arial" w:cs="Arial"/>
          <w:color w:val="auto"/>
          <w:sz w:val="22"/>
          <w:szCs w:val="22"/>
        </w:rPr>
        <w:t>, przy czym</w:t>
      </w:r>
      <w:r w:rsidR="008C3E55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0A3542" w:rsidRPr="0004062F">
        <w:rPr>
          <w:rFonts w:ascii="Arial" w:eastAsia="Arial" w:hAnsi="Arial" w:cs="Arial"/>
          <w:color w:val="auto"/>
          <w:sz w:val="22"/>
          <w:szCs w:val="22"/>
        </w:rPr>
        <w:t>d</w:t>
      </w:r>
      <w:r w:rsidR="008C3E55" w:rsidRPr="0004062F">
        <w:rPr>
          <w:rFonts w:ascii="Arial" w:eastAsia="Arial" w:hAnsi="Arial" w:cs="Arial"/>
          <w:color w:val="auto"/>
          <w:sz w:val="22"/>
          <w:szCs w:val="22"/>
        </w:rPr>
        <w:t>opuszcza się</w:t>
      </w:r>
      <w:r w:rsidR="000A3542" w:rsidRPr="0004062F">
        <w:rPr>
          <w:rFonts w:ascii="Arial" w:eastAsia="Arial" w:hAnsi="Arial" w:cs="Arial"/>
          <w:color w:val="auto"/>
          <w:sz w:val="22"/>
          <w:szCs w:val="22"/>
        </w:rPr>
        <w:t xml:space="preserve"> możliwość zgłoszenia do Konkursu Projektu, którego wnioskowany zakres dofinansowania będzie wynosił mniej niż </w:t>
      </w:r>
      <w:r w:rsidR="00D827AE" w:rsidRPr="0004062F">
        <w:rPr>
          <w:rFonts w:ascii="Arial" w:eastAsia="Arial" w:hAnsi="Arial" w:cs="Arial"/>
          <w:color w:val="auto"/>
          <w:sz w:val="22"/>
          <w:szCs w:val="22"/>
        </w:rPr>
        <w:t>100</w:t>
      </w:r>
      <w:r w:rsidR="00D827AE">
        <w:rPr>
          <w:rFonts w:ascii="Arial" w:eastAsia="Arial" w:hAnsi="Arial" w:cs="Arial"/>
          <w:color w:val="auto"/>
          <w:sz w:val="22"/>
          <w:szCs w:val="22"/>
        </w:rPr>
        <w:t> </w:t>
      </w:r>
      <w:r w:rsidR="000A3542" w:rsidRPr="0004062F">
        <w:rPr>
          <w:rFonts w:ascii="Arial" w:eastAsia="Arial" w:hAnsi="Arial" w:cs="Arial"/>
          <w:color w:val="auto"/>
          <w:sz w:val="22"/>
          <w:szCs w:val="22"/>
        </w:rPr>
        <w:t>000,00 (słownie: sto tysięcy) złotych brutto (przykładowo</w:t>
      </w:r>
      <w:r w:rsidR="008C3E55" w:rsidRPr="0004062F">
        <w:rPr>
          <w:rFonts w:ascii="Arial" w:eastAsia="Arial" w:hAnsi="Arial" w:cs="Arial"/>
          <w:color w:val="auto"/>
          <w:sz w:val="22"/>
          <w:szCs w:val="22"/>
        </w:rPr>
        <w:t xml:space="preserve"> dwa wnioski po </w:t>
      </w:r>
      <w:r w:rsidR="00D827AE" w:rsidRPr="0004062F">
        <w:rPr>
          <w:rFonts w:ascii="Arial" w:eastAsia="Arial" w:hAnsi="Arial" w:cs="Arial"/>
          <w:color w:val="auto"/>
          <w:sz w:val="22"/>
          <w:szCs w:val="22"/>
        </w:rPr>
        <w:t>50</w:t>
      </w:r>
      <w:r w:rsidR="00D827AE">
        <w:rPr>
          <w:rFonts w:ascii="Arial" w:eastAsia="Arial" w:hAnsi="Arial" w:cs="Arial"/>
          <w:color w:val="auto"/>
          <w:sz w:val="22"/>
          <w:szCs w:val="22"/>
        </w:rPr>
        <w:t> </w:t>
      </w:r>
      <w:r w:rsidR="008C3E55" w:rsidRPr="0004062F">
        <w:rPr>
          <w:rFonts w:ascii="Arial" w:eastAsia="Arial" w:hAnsi="Arial" w:cs="Arial"/>
          <w:color w:val="auto"/>
          <w:sz w:val="22"/>
          <w:szCs w:val="22"/>
        </w:rPr>
        <w:t>000 (słownie: pięćdziesiąt tysięcy) złotych brutto</w:t>
      </w:r>
      <w:r w:rsidR="000A3542" w:rsidRPr="0004062F">
        <w:rPr>
          <w:rFonts w:ascii="Arial" w:eastAsia="Arial" w:hAnsi="Arial" w:cs="Arial"/>
          <w:color w:val="auto"/>
          <w:sz w:val="22"/>
          <w:szCs w:val="22"/>
        </w:rPr>
        <w:t>)</w:t>
      </w:r>
      <w:r w:rsidR="008C3E55" w:rsidRPr="0004062F">
        <w:rPr>
          <w:rFonts w:ascii="Arial" w:eastAsia="Arial" w:hAnsi="Arial" w:cs="Arial"/>
          <w:color w:val="auto"/>
          <w:sz w:val="22"/>
          <w:szCs w:val="22"/>
        </w:rPr>
        <w:t>.</w:t>
      </w:r>
      <w:r w:rsidR="000A3542" w:rsidRPr="0004062F">
        <w:rPr>
          <w:rFonts w:ascii="Arial" w:eastAsia="Arial" w:hAnsi="Arial" w:cs="Arial"/>
          <w:color w:val="auto"/>
          <w:sz w:val="22"/>
          <w:szCs w:val="22"/>
        </w:rPr>
        <w:t xml:space="preserve"> W każdym jednak przypadku łączna kwota dofinansowania przewidziana dla Zespołów Badawczych nie przekroczy </w:t>
      </w:r>
      <w:r w:rsidR="00D827AE" w:rsidRPr="0004062F">
        <w:rPr>
          <w:rFonts w:ascii="Arial" w:eastAsia="Arial" w:hAnsi="Arial" w:cs="Arial"/>
          <w:color w:val="auto"/>
          <w:sz w:val="22"/>
          <w:szCs w:val="22"/>
        </w:rPr>
        <w:t>100</w:t>
      </w:r>
      <w:r w:rsidR="00D827AE">
        <w:rPr>
          <w:rFonts w:ascii="Arial" w:eastAsia="Arial" w:hAnsi="Arial" w:cs="Arial"/>
          <w:color w:val="auto"/>
          <w:sz w:val="22"/>
          <w:szCs w:val="22"/>
        </w:rPr>
        <w:t> </w:t>
      </w:r>
      <w:r w:rsidR="000A3542" w:rsidRPr="0004062F">
        <w:rPr>
          <w:rFonts w:ascii="Arial" w:eastAsia="Arial" w:hAnsi="Arial" w:cs="Arial"/>
          <w:color w:val="auto"/>
          <w:sz w:val="22"/>
          <w:szCs w:val="22"/>
        </w:rPr>
        <w:t xml:space="preserve">000,00 (słownie: sto tysięcy) złotych brutto. </w:t>
      </w:r>
    </w:p>
    <w:p w:rsidR="00B66260" w:rsidRDefault="00B66260" w:rsidP="0071183E">
      <w:pPr>
        <w:pStyle w:val="Default"/>
        <w:numPr>
          <w:ilvl w:val="0"/>
          <w:numId w:val="7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bCs/>
          <w:color w:val="auto"/>
          <w:sz w:val="22"/>
          <w:szCs w:val="22"/>
        </w:rPr>
      </w:pP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Przedmiotem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zgłoszenia,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o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którym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mowa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w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ust.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1,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mogą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być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wyniki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badań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lub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prac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rozwojowych,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co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do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których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prawa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własności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przemysłowej,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a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także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autorskie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prawa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majątkowe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należą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do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Uczelni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Partnerskiej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w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całości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lub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części,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o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ile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Uczelnia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Partnerska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jest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uprawniona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do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ich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komercjalizacji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na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podstawie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umowy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z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pozostałymi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współuprawnionymi.</w:t>
      </w:r>
    </w:p>
    <w:p w:rsidR="00B66260" w:rsidRPr="00ED49E2" w:rsidRDefault="00B66260" w:rsidP="0071183E">
      <w:pPr>
        <w:pStyle w:val="Default"/>
        <w:numPr>
          <w:ilvl w:val="0"/>
          <w:numId w:val="7"/>
        </w:numPr>
        <w:autoSpaceDE/>
        <w:autoSpaceDN/>
        <w:adjustRightInd/>
        <w:spacing w:before="240" w:after="120" w:line="360" w:lineRule="auto"/>
        <w:ind w:left="425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D49E2">
        <w:rPr>
          <w:rFonts w:ascii="Arial" w:eastAsia="Arial" w:hAnsi="Arial" w:cs="Arial"/>
          <w:color w:val="auto"/>
          <w:sz w:val="22"/>
          <w:szCs w:val="22"/>
        </w:rPr>
        <w:lastRenderedPageBreak/>
        <w:t>Na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etapie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ubiegania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się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wsparcie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ramach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Konkursu,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Zespół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Badawczy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przedstawia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B45E13" w:rsidRPr="00ED49E2">
        <w:rPr>
          <w:rFonts w:ascii="Arial" w:eastAsia="Arial" w:hAnsi="Arial" w:cs="Arial"/>
          <w:color w:val="auto"/>
          <w:sz w:val="22"/>
          <w:szCs w:val="22"/>
        </w:rPr>
        <w:t>w</w:t>
      </w:r>
      <w:r w:rsidR="00B45E13">
        <w:rPr>
          <w:rFonts w:ascii="Arial" w:eastAsia="Arial" w:hAnsi="Arial" w:cs="Arial"/>
          <w:color w:val="auto"/>
          <w:sz w:val="22"/>
          <w:szCs w:val="22"/>
        </w:rPr>
        <w:t> </w:t>
      </w:r>
      <w:r w:rsidRPr="00ED49E2">
        <w:rPr>
          <w:rFonts w:ascii="Arial" w:eastAsia="Arial" w:hAnsi="Arial" w:cs="Arial"/>
          <w:color w:val="auto"/>
          <w:sz w:val="22"/>
          <w:szCs w:val="22"/>
        </w:rPr>
        <w:t>Formularzu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zgłoszeniowym,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szczególności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następujące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informacje:</w:t>
      </w:r>
    </w:p>
    <w:p w:rsidR="00B66260" w:rsidRPr="00ED49E2" w:rsidRDefault="00B66260" w:rsidP="0071183E">
      <w:pPr>
        <w:pStyle w:val="Default"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850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D49E2">
        <w:rPr>
          <w:rFonts w:ascii="Arial" w:eastAsia="Arial" w:hAnsi="Arial" w:cs="Arial"/>
          <w:color w:val="auto"/>
          <w:sz w:val="22"/>
          <w:szCs w:val="22"/>
        </w:rPr>
        <w:t>określenie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potrzeby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rynkowej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uzasadniającej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realizację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prac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przedwdrożeniowych;</w:t>
      </w:r>
    </w:p>
    <w:p w:rsidR="00B66260" w:rsidRPr="00ED49E2" w:rsidRDefault="00B66260" w:rsidP="0071183E">
      <w:pPr>
        <w:pStyle w:val="Default"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850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D49E2">
        <w:rPr>
          <w:rFonts w:ascii="Arial" w:eastAsia="Arial" w:hAnsi="Arial" w:cs="Arial"/>
          <w:color w:val="auto"/>
          <w:sz w:val="22"/>
          <w:szCs w:val="22"/>
        </w:rPr>
        <w:t>określenie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poziomu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gotowości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technologii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(na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podstawie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kryteriów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wynikających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br/>
        <w:t>z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rozporządzenia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Ministra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Nauki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Szkolnictwa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Wyższego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dnia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28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sierpnia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2020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r.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B45E13" w:rsidRPr="00ED49E2">
        <w:rPr>
          <w:rFonts w:ascii="Arial" w:eastAsia="Arial" w:hAnsi="Arial" w:cs="Arial"/>
          <w:color w:val="auto"/>
          <w:sz w:val="22"/>
          <w:szCs w:val="22"/>
        </w:rPr>
        <w:t>w</w:t>
      </w:r>
      <w:r w:rsidR="00B45E13">
        <w:rPr>
          <w:rFonts w:ascii="Arial" w:eastAsia="Arial" w:hAnsi="Arial" w:cs="Arial"/>
          <w:color w:val="auto"/>
          <w:sz w:val="22"/>
          <w:szCs w:val="22"/>
        </w:rPr>
        <w:t> </w:t>
      </w:r>
      <w:r w:rsidRPr="00ED49E2">
        <w:rPr>
          <w:rFonts w:ascii="Arial" w:eastAsia="Arial" w:hAnsi="Arial" w:cs="Arial"/>
          <w:color w:val="auto"/>
          <w:sz w:val="22"/>
          <w:szCs w:val="22"/>
        </w:rPr>
        <w:t>sprawie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zadań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Narodowego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Centrum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Badań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Rozwoju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związanych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realizacją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badań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naukowych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lub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prac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rozwojowych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na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rzecz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obronności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bezpieczeństwa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państwa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(Dz.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U.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2020,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poz.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1495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proofErr w:type="spellStart"/>
      <w:r w:rsidRPr="00ED49E2">
        <w:rPr>
          <w:rFonts w:ascii="Arial" w:eastAsia="Arial" w:hAnsi="Arial" w:cs="Arial"/>
          <w:color w:val="auto"/>
          <w:sz w:val="22"/>
          <w:szCs w:val="22"/>
        </w:rPr>
        <w:t>późn</w:t>
      </w:r>
      <w:proofErr w:type="spellEnd"/>
      <w:r w:rsidRPr="00ED49E2">
        <w:rPr>
          <w:rFonts w:ascii="Arial" w:eastAsia="Arial" w:hAnsi="Arial" w:cs="Arial"/>
          <w:color w:val="auto"/>
          <w:sz w:val="22"/>
          <w:szCs w:val="22"/>
        </w:rPr>
        <w:t>.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zm.));</w:t>
      </w:r>
    </w:p>
    <w:p w:rsidR="00B66260" w:rsidRPr="00ED49E2" w:rsidRDefault="00B66260" w:rsidP="0071183E">
      <w:pPr>
        <w:pStyle w:val="Default"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850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D49E2">
        <w:rPr>
          <w:rFonts w:ascii="Arial" w:eastAsia="Arial" w:hAnsi="Arial" w:cs="Arial"/>
          <w:color w:val="auto"/>
          <w:sz w:val="22"/>
          <w:szCs w:val="22"/>
        </w:rPr>
        <w:t>określenie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rynku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docelowego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dla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wyniku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przeprowadzonych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prac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przedwdrożeniowych;</w:t>
      </w:r>
    </w:p>
    <w:p w:rsidR="00B66260" w:rsidRPr="00ED49E2" w:rsidRDefault="00B66260" w:rsidP="0071183E">
      <w:pPr>
        <w:pStyle w:val="Default"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850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auto"/>
          <w:sz w:val="22"/>
          <w:szCs w:val="22"/>
        </w:rPr>
        <w:t>skład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Zespołu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Badawczego;</w:t>
      </w:r>
    </w:p>
    <w:p w:rsidR="00B66260" w:rsidRPr="00ED49E2" w:rsidRDefault="00B66260" w:rsidP="0071183E">
      <w:pPr>
        <w:pStyle w:val="Default"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850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D49E2">
        <w:rPr>
          <w:rFonts w:ascii="Arial" w:eastAsia="Arial" w:hAnsi="Arial" w:cs="Arial"/>
          <w:color w:val="auto"/>
          <w:sz w:val="22"/>
          <w:szCs w:val="22"/>
        </w:rPr>
        <w:t>planowana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ścieżka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komercjalizacji;</w:t>
      </w:r>
    </w:p>
    <w:p w:rsidR="00B66260" w:rsidRPr="00ED49E2" w:rsidRDefault="00B66260" w:rsidP="0071183E">
      <w:pPr>
        <w:pStyle w:val="Default"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850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D49E2">
        <w:rPr>
          <w:rFonts w:ascii="Arial" w:eastAsia="Arial" w:hAnsi="Arial" w:cs="Arial"/>
          <w:color w:val="auto"/>
          <w:sz w:val="22"/>
          <w:szCs w:val="22"/>
        </w:rPr>
        <w:t>kosztorys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projektu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(załącznik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1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do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Regulaminu);</w:t>
      </w:r>
    </w:p>
    <w:p w:rsidR="00B66260" w:rsidRPr="0004062F" w:rsidRDefault="00B66260" w:rsidP="0071183E">
      <w:pPr>
        <w:pStyle w:val="Default"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line="360" w:lineRule="auto"/>
        <w:ind w:left="850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4062F">
        <w:rPr>
          <w:rFonts w:ascii="Arial" w:eastAsia="Arial" w:hAnsi="Arial" w:cs="Arial"/>
          <w:color w:val="auto"/>
          <w:sz w:val="22"/>
          <w:szCs w:val="22"/>
        </w:rPr>
        <w:t>okres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realizacji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projektu.</w:t>
      </w:r>
    </w:p>
    <w:p w:rsidR="00B66260" w:rsidRPr="0004062F" w:rsidRDefault="00B66260" w:rsidP="0071183E">
      <w:pPr>
        <w:pStyle w:val="Default"/>
        <w:numPr>
          <w:ilvl w:val="0"/>
          <w:numId w:val="7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4062F">
        <w:rPr>
          <w:rFonts w:ascii="Arial" w:eastAsia="Arial" w:hAnsi="Arial" w:cs="Arial"/>
          <w:color w:val="auto"/>
          <w:sz w:val="22"/>
          <w:szCs w:val="22"/>
        </w:rPr>
        <w:t>Ocenę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formalną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zgłoszenia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przeprowadza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CTT.</w:t>
      </w:r>
    </w:p>
    <w:p w:rsidR="00B66260" w:rsidRPr="0004062F" w:rsidRDefault="00B66260" w:rsidP="0071183E">
      <w:pPr>
        <w:pStyle w:val="Default"/>
        <w:numPr>
          <w:ilvl w:val="0"/>
          <w:numId w:val="7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4062F">
        <w:rPr>
          <w:rFonts w:ascii="Arial" w:eastAsia="Arial" w:hAnsi="Arial" w:cs="Arial"/>
          <w:color w:val="auto"/>
          <w:sz w:val="22"/>
          <w:szCs w:val="22"/>
        </w:rPr>
        <w:t>Autorskie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prawa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majątkowe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do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wszystkich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utworów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powstałych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w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związku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realizacją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Projektu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zgodnie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ustawą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dnia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4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lutego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1994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r.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o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prawie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autorskim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i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prawach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pokrewnych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(</w:t>
      </w:r>
      <w:proofErr w:type="spellStart"/>
      <w:r w:rsidRPr="0004062F">
        <w:rPr>
          <w:rFonts w:ascii="Arial" w:eastAsia="Arial" w:hAnsi="Arial" w:cs="Arial"/>
          <w:color w:val="auto"/>
          <w:sz w:val="22"/>
          <w:szCs w:val="22"/>
        </w:rPr>
        <w:t>t.j</w:t>
      </w:r>
      <w:proofErr w:type="spellEnd"/>
      <w:r w:rsidRPr="0004062F">
        <w:rPr>
          <w:rFonts w:ascii="Arial" w:eastAsia="Arial" w:hAnsi="Arial" w:cs="Arial"/>
          <w:color w:val="auto"/>
          <w:sz w:val="22"/>
          <w:szCs w:val="22"/>
        </w:rPr>
        <w:t>.: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Dz.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U</w:t>
      </w:r>
      <w:r w:rsidRPr="00ED49E2">
        <w:rPr>
          <w:rFonts w:ascii="Arial" w:eastAsia="Arial" w:hAnsi="Arial" w:cs="Arial"/>
          <w:color w:val="auto"/>
          <w:sz w:val="22"/>
          <w:szCs w:val="22"/>
        </w:rPr>
        <w:t>.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2022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r.,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poz.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2509)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są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własnością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tej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Uczelni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Partnerskiej,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br/>
        <w:t>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której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jest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realizowany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Projekt,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ramach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którego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został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opracowany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dany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utwór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B45E13" w:rsidRPr="00ED49E2">
        <w:rPr>
          <w:rFonts w:ascii="Arial" w:eastAsia="Arial" w:hAnsi="Arial" w:cs="Arial"/>
          <w:color w:val="auto"/>
          <w:sz w:val="22"/>
          <w:szCs w:val="22"/>
        </w:rPr>
        <w:t>na</w:t>
      </w:r>
      <w:r w:rsidR="00B45E13">
        <w:rPr>
          <w:rFonts w:ascii="Arial" w:eastAsia="Arial" w:hAnsi="Arial" w:cs="Arial"/>
          <w:color w:val="auto"/>
          <w:sz w:val="22"/>
          <w:szCs w:val="22"/>
        </w:rPr>
        <w:t> 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podstawie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umów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zawartych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członkami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Zespołu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Badawczego,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szczególności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umów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br/>
        <w:t>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pracę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oraz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umów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o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przeniesienie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praw.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Uczelnie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zobowiązane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są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przenieść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na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rzecz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Ministra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Nauki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autorskie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prawa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majątkowe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do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wszystkich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utworów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powstałych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w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związku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realizacją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projektu,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zgodnie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postanowieniami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umowy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051694" w:rsidRPr="0004062F">
        <w:rPr>
          <w:rFonts w:ascii="Arial" w:eastAsia="Arial" w:hAnsi="Arial" w:cs="Arial"/>
          <w:color w:val="auto"/>
          <w:sz w:val="22"/>
          <w:szCs w:val="22"/>
        </w:rPr>
        <w:t xml:space="preserve">nr </w:t>
      </w:r>
      <w:proofErr w:type="spellStart"/>
      <w:r w:rsidR="00051694" w:rsidRPr="0004062F">
        <w:rPr>
          <w:rFonts w:ascii="Arial" w:eastAsia="Arial" w:hAnsi="Arial" w:cs="Arial"/>
          <w:color w:val="000000" w:themeColor="text1"/>
        </w:rPr>
        <w:t>MEiN</w:t>
      </w:r>
      <w:proofErr w:type="spellEnd"/>
      <w:r w:rsidR="00051694" w:rsidRPr="0004062F">
        <w:rPr>
          <w:rFonts w:ascii="Arial" w:eastAsia="Arial" w:hAnsi="Arial" w:cs="Arial"/>
          <w:color w:val="000000" w:themeColor="text1"/>
        </w:rPr>
        <w:t>/2022/DPI/2578.</w:t>
      </w:r>
    </w:p>
    <w:p w:rsidR="00B66260" w:rsidRPr="0004062F" w:rsidRDefault="00B66260" w:rsidP="0071183E">
      <w:pPr>
        <w:pStyle w:val="Default"/>
        <w:numPr>
          <w:ilvl w:val="0"/>
          <w:numId w:val="7"/>
        </w:numPr>
        <w:autoSpaceDE/>
        <w:autoSpaceDN/>
        <w:adjustRightInd/>
        <w:spacing w:line="360" w:lineRule="auto"/>
        <w:ind w:left="425" w:hanging="425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4062F">
        <w:rPr>
          <w:rFonts w:ascii="Arial" w:eastAsia="Arial" w:hAnsi="Arial" w:cs="Arial"/>
          <w:color w:val="auto"/>
          <w:sz w:val="22"/>
          <w:szCs w:val="22"/>
        </w:rPr>
        <w:t>Postanowienia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ust.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6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zdanie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pierwsze,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stosuje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się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odpowiednio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do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praw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własności</w:t>
      </w:r>
      <w:r w:rsidR="0071183E" w:rsidRPr="0004062F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przemysłowej.</w:t>
      </w:r>
    </w:p>
    <w:p w:rsidR="00841CD1" w:rsidRPr="00ED49E2" w:rsidRDefault="00841CD1" w:rsidP="00B66260">
      <w:pPr>
        <w:pStyle w:val="Default"/>
        <w:ind w:left="426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:rsidR="00B66260" w:rsidRPr="00ED49E2" w:rsidRDefault="00B66260" w:rsidP="00B66260">
      <w:pPr>
        <w:pStyle w:val="Default"/>
        <w:spacing w:before="240" w:after="240"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§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4.</w:t>
      </w:r>
    </w:p>
    <w:p w:rsidR="00B66260" w:rsidRPr="00ED49E2" w:rsidRDefault="00B66260" w:rsidP="00B66260">
      <w:pPr>
        <w:pStyle w:val="Default"/>
        <w:spacing w:before="240" w:after="240"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Wsparcie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w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Konkursie</w:t>
      </w:r>
    </w:p>
    <w:p w:rsidR="00B66260" w:rsidRPr="00ED49E2" w:rsidRDefault="00B66260" w:rsidP="00AF54DD">
      <w:pPr>
        <w:pStyle w:val="Default"/>
        <w:numPr>
          <w:ilvl w:val="0"/>
          <w:numId w:val="9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ramach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Konkursu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oferowane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jest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wsparcie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realizacji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prac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przedwdrożeniowych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zmierzających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skomercjalizowania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przedmiotu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zgłoszenia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–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Zespoły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Badawcze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mogą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skorzystać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wsparcia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finansowego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pozwalającego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prowadzenie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prac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przedwdrożeniowych,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szczególności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dodatkowych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testów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laboratoryjnych,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dostosowania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wyników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prac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badawczych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potrzeb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zainteresowanego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nabywcy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lub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pozyskania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inwestora,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przypadku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zakładania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spółki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typu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spin-off</w:t>
      </w:r>
      <w:proofErr w:type="spellEnd"/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B66260" w:rsidRPr="00ED49E2" w:rsidRDefault="00B66260" w:rsidP="00AF54DD">
      <w:pPr>
        <w:pStyle w:val="Default"/>
        <w:numPr>
          <w:ilvl w:val="0"/>
          <w:numId w:val="9"/>
        </w:numPr>
        <w:autoSpaceDE/>
        <w:autoSpaceDN/>
        <w:adjustRightInd/>
        <w:spacing w:before="240" w:after="120" w:line="360" w:lineRule="auto"/>
        <w:ind w:left="425" w:hanging="425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ramach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dostępnego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budżetu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finansowane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są: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B66260" w:rsidRPr="00ED49E2" w:rsidRDefault="00B66260" w:rsidP="00AF54DD">
      <w:pPr>
        <w:pStyle w:val="Default"/>
        <w:numPr>
          <w:ilvl w:val="1"/>
          <w:numId w:val="12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wynagrodzenia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pracowników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Zespołu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Badawczego;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wysokość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wynagrodzeń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będzie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określona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odrębnie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dla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każdej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Uczelni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Partnerskiej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wg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obowiązujących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regulaminów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zasad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danej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Uczelni,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czym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środki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przeznaczone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wynagrodzenia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mogą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przekroczyć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30%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maksymalnej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kwoty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dofinansowania</w:t>
      </w:r>
      <w:r w:rsidRPr="00ED49E2">
        <w:rPr>
          <w:rFonts w:ascii="Arial" w:eastAsia="Arial" w:hAnsi="Arial" w:cs="Arial"/>
          <w:color w:val="auto"/>
          <w:sz w:val="22"/>
          <w:szCs w:val="22"/>
        </w:rPr>
        <w:t>;</w:t>
      </w:r>
    </w:p>
    <w:p w:rsidR="00B66260" w:rsidRPr="00ED49E2" w:rsidRDefault="00B66260" w:rsidP="00AF54DD">
      <w:pPr>
        <w:pStyle w:val="Default"/>
        <w:numPr>
          <w:ilvl w:val="1"/>
          <w:numId w:val="1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wydatki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zakup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wyposażenia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laboratoryjnego,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oprogramowania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licencji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45E13" w:rsidRPr="00ED49E2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B45E13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oprogramowanie;</w:t>
      </w:r>
    </w:p>
    <w:p w:rsidR="00B66260" w:rsidRPr="00ED49E2" w:rsidRDefault="00B66260" w:rsidP="00AF54DD">
      <w:pPr>
        <w:pStyle w:val="Default"/>
        <w:numPr>
          <w:ilvl w:val="1"/>
          <w:numId w:val="1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zakupy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materiałów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surowców;</w:t>
      </w:r>
    </w:p>
    <w:p w:rsidR="00B66260" w:rsidRPr="00ED49E2" w:rsidRDefault="00B66260" w:rsidP="00AF54DD">
      <w:pPr>
        <w:pStyle w:val="Default"/>
        <w:numPr>
          <w:ilvl w:val="1"/>
          <w:numId w:val="1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usługi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badawcze,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ekspertyzy,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analizy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raporty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niezbędne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prawidłowej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realizacji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Projektu;</w:t>
      </w:r>
    </w:p>
    <w:p w:rsidR="00B66260" w:rsidRPr="00ED49E2" w:rsidRDefault="00B66260" w:rsidP="00AF54DD">
      <w:pPr>
        <w:pStyle w:val="Default"/>
        <w:numPr>
          <w:ilvl w:val="1"/>
          <w:numId w:val="13"/>
        </w:numPr>
        <w:autoSpaceDE/>
        <w:autoSpaceDN/>
        <w:adjustRightInd/>
        <w:spacing w:line="360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koszty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krajowych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zagranicznych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podróży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służbowych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osób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zaangażowanych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br/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realizację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Projektu;</w:t>
      </w:r>
    </w:p>
    <w:p w:rsidR="00B66260" w:rsidRPr="00ED49E2" w:rsidRDefault="00B66260" w:rsidP="00AF54DD">
      <w:pPr>
        <w:pStyle w:val="Default"/>
        <w:numPr>
          <w:ilvl w:val="1"/>
          <w:numId w:val="13"/>
        </w:numPr>
        <w:autoSpaceDE/>
        <w:autoSpaceDN/>
        <w:adjustRightInd/>
        <w:spacing w:line="360" w:lineRule="auto"/>
        <w:ind w:left="850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wydatki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ochronę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przedmiotów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własności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przemysłowej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doradztwo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zakresie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ochrony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własności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intelektualnej,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wraz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opłatami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zgłoszenia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przedmiotów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własności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przemysłowej.</w:t>
      </w:r>
    </w:p>
    <w:p w:rsidR="00B66260" w:rsidRPr="00ED49E2" w:rsidRDefault="00B66260" w:rsidP="00AF54DD">
      <w:pPr>
        <w:pStyle w:val="Default"/>
        <w:numPr>
          <w:ilvl w:val="0"/>
          <w:numId w:val="9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Wydatki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ponoszone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ramach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projektu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są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realizowane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Uczelni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Partnerskiej</w:t>
      </w:r>
      <w:r w:rsidR="004722FD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której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jest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zatrudniony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Lider</w:t>
      </w:r>
      <w:r w:rsidR="004722FD">
        <w:rPr>
          <w:rFonts w:ascii="Arial" w:eastAsia="Arial" w:hAnsi="Arial" w:cs="Arial"/>
          <w:color w:val="000000" w:themeColor="text1"/>
          <w:sz w:val="22"/>
          <w:szCs w:val="22"/>
        </w:rPr>
        <w:t xml:space="preserve"> Zespołu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:rsidR="00B66260" w:rsidRPr="00ED49E2" w:rsidRDefault="00B66260" w:rsidP="00B66260">
      <w:pPr>
        <w:pStyle w:val="Default"/>
        <w:spacing w:after="120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:rsidR="00B66260" w:rsidRPr="00ED49E2" w:rsidRDefault="00B66260" w:rsidP="00B66260">
      <w:pPr>
        <w:pStyle w:val="Default"/>
        <w:spacing w:before="240" w:after="240" w:line="36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§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5.</w:t>
      </w:r>
    </w:p>
    <w:p w:rsidR="00B66260" w:rsidRPr="00ED49E2" w:rsidRDefault="00B66260" w:rsidP="00B66260">
      <w:pPr>
        <w:pStyle w:val="Default"/>
        <w:spacing w:before="240" w:after="240"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Zasady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zgłaszania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i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auto"/>
          <w:sz w:val="22"/>
          <w:szCs w:val="22"/>
        </w:rPr>
        <w:t>wyboru</w:t>
      </w:r>
      <w:r w:rsidR="0071183E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color w:val="000000" w:themeColor="text1"/>
          <w:sz w:val="22"/>
          <w:szCs w:val="22"/>
        </w:rPr>
        <w:t>wyników</w:t>
      </w:r>
      <w:r w:rsidR="0071183E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color w:val="000000" w:themeColor="text1"/>
          <w:sz w:val="22"/>
          <w:szCs w:val="22"/>
        </w:rPr>
        <w:t>badań</w:t>
      </w:r>
      <w:r w:rsidR="0071183E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color w:val="000000" w:themeColor="text1"/>
          <w:sz w:val="22"/>
          <w:szCs w:val="22"/>
        </w:rPr>
        <w:t>naukowych</w:t>
      </w:r>
      <w:r w:rsidR="0071183E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color w:val="000000" w:themeColor="text1"/>
          <w:sz w:val="22"/>
          <w:szCs w:val="22"/>
        </w:rPr>
        <w:t>i</w:t>
      </w:r>
      <w:r w:rsidR="0071183E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color w:val="000000" w:themeColor="text1"/>
          <w:sz w:val="22"/>
          <w:szCs w:val="22"/>
        </w:rPr>
        <w:t>prac</w:t>
      </w:r>
      <w:r w:rsidR="0071183E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color w:val="000000" w:themeColor="text1"/>
          <w:sz w:val="22"/>
          <w:szCs w:val="22"/>
        </w:rPr>
        <w:t>rozwojowych</w:t>
      </w:r>
      <w:r w:rsidR="0071183E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="00B45E13" w:rsidRPr="00ED49E2">
        <w:rPr>
          <w:rFonts w:ascii="Arial" w:eastAsia="Arial" w:hAnsi="Arial" w:cs="Arial"/>
          <w:b/>
          <w:color w:val="000000" w:themeColor="text1"/>
          <w:sz w:val="22"/>
          <w:szCs w:val="22"/>
        </w:rPr>
        <w:t>do</w:t>
      </w:r>
      <w:r w:rsidR="00B45E13">
        <w:rPr>
          <w:rFonts w:ascii="Arial" w:eastAsia="Arial" w:hAnsi="Arial" w:cs="Arial"/>
          <w:b/>
          <w:color w:val="000000" w:themeColor="text1"/>
          <w:sz w:val="22"/>
          <w:szCs w:val="22"/>
        </w:rPr>
        <w:t> </w:t>
      </w:r>
      <w:r w:rsidRPr="00ED49E2">
        <w:rPr>
          <w:rFonts w:ascii="Arial" w:eastAsia="Arial" w:hAnsi="Arial" w:cs="Arial"/>
          <w:b/>
          <w:color w:val="000000" w:themeColor="text1"/>
          <w:sz w:val="22"/>
          <w:szCs w:val="22"/>
        </w:rPr>
        <w:t>wsparcia</w:t>
      </w:r>
      <w:r w:rsidR="0071183E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color w:val="000000" w:themeColor="text1"/>
          <w:sz w:val="22"/>
          <w:szCs w:val="22"/>
        </w:rPr>
        <w:t>ramach</w:t>
      </w:r>
      <w:r w:rsidR="0071183E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color w:val="000000" w:themeColor="text1"/>
          <w:sz w:val="22"/>
          <w:szCs w:val="22"/>
        </w:rPr>
        <w:t>Konkursu</w:t>
      </w:r>
    </w:p>
    <w:p w:rsidR="00B66260" w:rsidRPr="0004062F" w:rsidRDefault="00B66260" w:rsidP="00AF54DD">
      <w:pPr>
        <w:pStyle w:val="Default"/>
        <w:numPr>
          <w:ilvl w:val="0"/>
          <w:numId w:val="8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Lider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Zespołu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Uczelni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Partnerskiej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składa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wniosek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do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tej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Uczelni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Partnerskiej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="00515462"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o</w:t>
      </w:r>
      <w:r w:rsidR="00515462">
        <w:rPr>
          <w:rFonts w:ascii="Arial" w:eastAsia="Arial" w:hAnsi="Arial" w:cs="Arial"/>
          <w:bCs/>
          <w:color w:val="000000" w:themeColor="text1"/>
          <w:sz w:val="22"/>
          <w:szCs w:val="22"/>
        </w:rPr>
        <w:t> 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wsparcie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realizacji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prac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przedwdrożeniowych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na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Formularzu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zgłoszeniowym.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Zgłoszenia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należy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przesyłać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elektronicznie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w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przypadku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Politechniki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Białostockiej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="00515462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lastRenderedPageBreak/>
        <w:t>na</w:t>
      </w:r>
      <w:r w:rsidR="00515462">
        <w:rPr>
          <w:rFonts w:ascii="Arial" w:eastAsia="Arial" w:hAnsi="Arial" w:cs="Arial"/>
          <w:bCs/>
          <w:color w:val="000000" w:themeColor="text1"/>
          <w:sz w:val="22"/>
          <w:szCs w:val="22"/>
        </w:rPr>
        <w:t> 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adres: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hyperlink r:id="rId8" w:history="1">
        <w:r w:rsidRPr="0004062F">
          <w:rPr>
            <w:rStyle w:val="Hipercze"/>
            <w:rFonts w:ascii="Arial" w:eastAsia="Arial" w:hAnsi="Arial" w:cs="Arial"/>
            <w:bCs/>
            <w:color w:val="auto"/>
            <w:sz w:val="22"/>
            <w:szCs w:val="22"/>
          </w:rPr>
          <w:t>komercjalizacja.viacarpatia@pb.edu.pl</w:t>
        </w:r>
      </w:hyperlink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,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w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przypadku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Politechniki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Lubelskiej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="00515462" w:rsidRPr="00ED49E2">
        <w:rPr>
          <w:rFonts w:ascii="Arial" w:eastAsia="Arial" w:hAnsi="Arial" w:cs="Arial"/>
          <w:bCs/>
          <w:color w:val="auto"/>
          <w:sz w:val="22"/>
          <w:szCs w:val="22"/>
        </w:rPr>
        <w:t>na</w:t>
      </w:r>
      <w:r w:rsidR="00515462">
        <w:rPr>
          <w:rFonts w:ascii="Arial" w:eastAsia="Arial" w:hAnsi="Arial" w:cs="Arial"/>
          <w:bCs/>
          <w:color w:val="auto"/>
          <w:sz w:val="22"/>
          <w:szCs w:val="22"/>
        </w:rPr>
        <w:t> </w:t>
      </w:r>
      <w:r w:rsidRPr="00ED49E2">
        <w:rPr>
          <w:rFonts w:ascii="Arial" w:eastAsia="Arial" w:hAnsi="Arial" w:cs="Arial"/>
          <w:bCs/>
          <w:color w:val="auto"/>
          <w:sz w:val="22"/>
          <w:szCs w:val="22"/>
        </w:rPr>
        <w:t>adres:</w:t>
      </w:r>
      <w:r w:rsidR="0071183E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hyperlink r:id="rId9" w:history="1">
        <w:r w:rsidRPr="0004062F">
          <w:rPr>
            <w:rStyle w:val="Hipercze"/>
            <w:rFonts w:ascii="Arial" w:eastAsia="Arial" w:hAnsi="Arial" w:cs="Arial"/>
            <w:bCs/>
            <w:color w:val="auto"/>
            <w:sz w:val="22"/>
            <w:szCs w:val="22"/>
          </w:rPr>
          <w:t>citt@pollub.pl</w:t>
        </w:r>
      </w:hyperlink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,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w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p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rzypadku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Politechniki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Rzeszowskiej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na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adres: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viacarpatia@prz.edu.pl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oraz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złożyć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w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formie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papierowej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w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CTT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właściwej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Uczelni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Partnerskiej.</w:t>
      </w:r>
    </w:p>
    <w:p w:rsidR="00B66260" w:rsidRPr="00ED49E2" w:rsidRDefault="00B66260" w:rsidP="00AF54DD">
      <w:pPr>
        <w:pStyle w:val="Default"/>
        <w:numPr>
          <w:ilvl w:val="0"/>
          <w:numId w:val="8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Termin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składania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wniosków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o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wsparcie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realizacji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>prac</w:t>
      </w:r>
      <w:r w:rsidR="0071183E" w:rsidRPr="0004062F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przedwdrożeniowych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określa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każdorazowo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ogłoszenie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o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="004722FD" w:rsidRPr="0004062F">
        <w:rPr>
          <w:rFonts w:ascii="Arial" w:eastAsia="Arial" w:hAnsi="Arial" w:cs="Arial"/>
          <w:bCs/>
          <w:color w:val="auto"/>
          <w:sz w:val="22"/>
          <w:szCs w:val="22"/>
        </w:rPr>
        <w:t>K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onkursie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zamieszczone,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w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szczególności,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na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stronie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www.viacarpatia.pro.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Termin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oraz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miejsce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składania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wniosków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w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formie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papierowej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podaje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się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do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wiadomości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na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stronach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internetowych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Uczelni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Partnerskich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oraz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przekazuje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bCs/>
          <w:color w:val="auto"/>
          <w:sz w:val="22"/>
          <w:szCs w:val="22"/>
        </w:rPr>
        <w:t>się</w:t>
      </w:r>
      <w:r w:rsidR="0071183E" w:rsidRPr="0004062F">
        <w:rPr>
          <w:rFonts w:ascii="Arial" w:eastAsia="Arial" w:hAnsi="Arial" w:cs="Arial"/>
          <w:bCs/>
          <w:color w:val="auto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auto"/>
          <w:sz w:val="22"/>
          <w:szCs w:val="22"/>
        </w:rPr>
        <w:t>pracownikom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Uczelni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Partnerskich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drogą</w:t>
      </w:r>
      <w:r w:rsidR="0071183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auto"/>
          <w:sz w:val="22"/>
          <w:szCs w:val="22"/>
        </w:rPr>
        <w:t>elektroniczną.</w:t>
      </w:r>
    </w:p>
    <w:p w:rsidR="00B66260" w:rsidRPr="00ED49E2" w:rsidRDefault="00B66260" w:rsidP="00AF54DD">
      <w:pPr>
        <w:pStyle w:val="Default"/>
        <w:numPr>
          <w:ilvl w:val="0"/>
          <w:numId w:val="8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bCs/>
          <w:sz w:val="22"/>
          <w:szCs w:val="22"/>
        </w:rPr>
      </w:pP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Oceny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wniosków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o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wsparcie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realizacji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prac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przedwdrożeniowych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ramach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Konkursu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dokonuje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Komisja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konkursowa.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</w:p>
    <w:p w:rsidR="00B66260" w:rsidRPr="00ED49E2" w:rsidRDefault="00B66260" w:rsidP="00AF54DD">
      <w:pPr>
        <w:pStyle w:val="Default"/>
        <w:numPr>
          <w:ilvl w:val="0"/>
          <w:numId w:val="8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Komisja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konkursowa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oceni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zgłoszenia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Zespołów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Badawczych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terminie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21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dni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45E13" w:rsidRPr="00ED49E2">
        <w:rPr>
          <w:rFonts w:ascii="Arial" w:eastAsia="Arial" w:hAnsi="Arial" w:cs="Arial"/>
          <w:color w:val="000000" w:themeColor="text1"/>
          <w:sz w:val="22"/>
          <w:szCs w:val="22"/>
        </w:rPr>
        <w:t>od</w:t>
      </w:r>
      <w:r w:rsidR="00B45E13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daty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zakończenia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ich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naboru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sporządzi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listy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rankingowe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zgłoszeń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oddzielnie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dla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każdej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Uczelni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Partnerskich.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B66260" w:rsidRPr="00ED49E2" w:rsidRDefault="00B66260" w:rsidP="00AF54DD">
      <w:pPr>
        <w:pStyle w:val="Default"/>
        <w:numPr>
          <w:ilvl w:val="0"/>
          <w:numId w:val="8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Przyznanie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wsparcia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odbywa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się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podstawie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ustalonej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listy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rankingowej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515462" w:rsidRPr="00ED49E2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515462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wyczerpania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przeznaczonych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ten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cel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środków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finansowych.</w:t>
      </w:r>
    </w:p>
    <w:p w:rsidR="00B66260" w:rsidRPr="00ED49E2" w:rsidRDefault="00B66260" w:rsidP="00AF54DD">
      <w:pPr>
        <w:pStyle w:val="Default"/>
        <w:numPr>
          <w:ilvl w:val="0"/>
          <w:numId w:val="8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Listy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rankingowe</w:t>
      </w:r>
      <w:r w:rsidR="0071183E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  <w:sz w:val="22"/>
          <w:szCs w:val="22"/>
        </w:rPr>
        <w:t>są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ogłaszane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stronie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internetowej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Zadania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zleconego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terminie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45E13" w:rsidRPr="00ED49E2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B45E13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7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dni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od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daty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jej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sporządzenia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przez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Komisję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konkursową.</w:t>
      </w:r>
      <w:r w:rsidR="0071183E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</w:p>
    <w:p w:rsidR="00B66260" w:rsidRPr="0004062F" w:rsidRDefault="00B66260" w:rsidP="00AF54DD">
      <w:pPr>
        <w:pStyle w:val="Default"/>
        <w:numPr>
          <w:ilvl w:val="0"/>
          <w:numId w:val="8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Decyzję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przyznaniu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wsparcia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ramach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Konkursu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Komisja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konkursowa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przekazuje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Zespołowi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45E13">
        <w:rPr>
          <w:rFonts w:ascii="Arial" w:eastAsia="Arial" w:hAnsi="Arial" w:cs="Arial"/>
          <w:color w:val="000000" w:themeColor="text1"/>
          <w:sz w:val="22"/>
          <w:szCs w:val="22"/>
        </w:rPr>
        <w:t>B</w:t>
      </w:r>
      <w:r w:rsidR="00B45E13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adawczemu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terminie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do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7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dni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od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daty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ogłoszenia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listy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rankingowej.</w:t>
      </w:r>
    </w:p>
    <w:p w:rsidR="00B66260" w:rsidRPr="0004062F" w:rsidRDefault="00B66260" w:rsidP="00AF54DD">
      <w:pPr>
        <w:pStyle w:val="Default"/>
        <w:numPr>
          <w:ilvl w:val="0"/>
          <w:numId w:val="8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Alokacja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środków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finansowych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każdej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z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Uczelni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Partnerskich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przeznaczonych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45E13" w:rsidRPr="0004062F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B45E13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realizację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722FD" w:rsidRPr="0004062F">
        <w:rPr>
          <w:rFonts w:ascii="Arial" w:eastAsia="Arial" w:hAnsi="Arial" w:cs="Arial"/>
          <w:color w:val="000000" w:themeColor="text1"/>
          <w:sz w:val="22"/>
          <w:szCs w:val="22"/>
        </w:rPr>
        <w:t>K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onkursu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202</w:t>
      </w:r>
      <w:r w:rsidR="00AF6703" w:rsidRPr="0004062F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roku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wynosi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po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45E13" w:rsidRPr="0004062F">
        <w:rPr>
          <w:rFonts w:ascii="Arial" w:eastAsia="Arial" w:hAnsi="Arial" w:cs="Arial"/>
          <w:color w:val="000000" w:themeColor="text1"/>
          <w:sz w:val="22"/>
          <w:szCs w:val="22"/>
        </w:rPr>
        <w:t>100</w:t>
      </w:r>
      <w:r w:rsidR="00B45E13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000,00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(słownie: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sto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tysięcy)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złotych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brutto</w:t>
      </w:r>
      <w:r w:rsidR="004722FD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na każdej Uczelni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4722FD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B66260" w:rsidRPr="00ED49E2" w:rsidRDefault="00B66260" w:rsidP="00AF54DD">
      <w:pPr>
        <w:pStyle w:val="Default"/>
        <w:numPr>
          <w:ilvl w:val="0"/>
          <w:numId w:val="8"/>
        </w:numPr>
        <w:autoSpaceDE/>
        <w:autoSpaceDN/>
        <w:adjustRightInd/>
        <w:spacing w:before="240" w:after="240" w:line="360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Komisja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konkursowa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przyznaje</w:t>
      </w:r>
      <w:r w:rsidR="0071183E" w:rsidRPr="0004062F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04062F">
        <w:rPr>
          <w:rFonts w:ascii="Arial" w:eastAsia="Arial" w:hAnsi="Arial" w:cs="Arial"/>
          <w:color w:val="000000" w:themeColor="text1"/>
          <w:sz w:val="22"/>
          <w:szCs w:val="22"/>
        </w:rPr>
        <w:t>zgłoszeniom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odpowiednią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liczbę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punktów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według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własnej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oceny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następujących</w:t>
      </w:r>
      <w:r w:rsidR="0071183E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color w:val="000000" w:themeColor="text1"/>
          <w:sz w:val="22"/>
          <w:szCs w:val="22"/>
        </w:rPr>
        <w:t>kategoriach:</w:t>
      </w:r>
    </w:p>
    <w:tbl>
      <w:tblPr>
        <w:tblW w:w="9162" w:type="dxa"/>
        <w:tblInd w:w="-39" w:type="dxa"/>
        <w:tblLook w:val="0000"/>
      </w:tblPr>
      <w:tblGrid>
        <w:gridCol w:w="1092"/>
        <w:gridCol w:w="540"/>
        <w:gridCol w:w="2867"/>
        <w:gridCol w:w="1329"/>
        <w:gridCol w:w="3334"/>
      </w:tblGrid>
      <w:tr w:rsidR="00B66260" w:rsidRPr="00ED49E2" w:rsidTr="0071183E">
        <w:trPr>
          <w:trHeight w:val="66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ind w:left="113" w:right="113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POTRZEBA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1.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Identyfikacja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potrzeby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rynkowej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uzasadniającej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lastRenderedPageBreak/>
              <w:t>realizację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prac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przedwdrożeniowych</w:t>
            </w:r>
          </w:p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(maks.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3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pkt)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lastRenderedPageBreak/>
              <w:t>1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Wskazano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potrzebę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rynkową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uzasadniającą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realizację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prac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lastRenderedPageBreak/>
              <w:t>przedwdrożeniowych</w:t>
            </w:r>
          </w:p>
        </w:tc>
      </w:tr>
      <w:tr w:rsidR="00B66260" w:rsidRPr="00ED49E2" w:rsidTr="0071183E">
        <w:trPr>
          <w:trHeight w:val="66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1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Wskazano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dotychczasowy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sposób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zaspokajania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zdiagnozowanej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potrzeby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rynkowej</w:t>
            </w:r>
          </w:p>
        </w:tc>
      </w:tr>
      <w:tr w:rsidR="00B66260" w:rsidRPr="00ED49E2" w:rsidTr="0071183E">
        <w:trPr>
          <w:trHeight w:val="66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1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Wskazano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korzyści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wynikające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br/>
              <w:t>z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wykorzystania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proponowanego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rozwiązania</w:t>
            </w:r>
          </w:p>
        </w:tc>
      </w:tr>
      <w:tr w:rsidR="00B66260" w:rsidRPr="00ED49E2" w:rsidTr="0071183E">
        <w:trPr>
          <w:trHeight w:val="66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GOTOWOŚĆ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2.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Poziom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gotowości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technologii</w:t>
            </w:r>
          </w:p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(maks.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3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pkt)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0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punktów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Jeśli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wyniki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badań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zakwalifikowano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Poziomu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lub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II</w:t>
            </w:r>
          </w:p>
        </w:tc>
      </w:tr>
      <w:tr w:rsidR="00B66260" w:rsidRPr="00ED49E2" w:rsidTr="0071183E">
        <w:trPr>
          <w:trHeight w:val="6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1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Jeśli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wyniki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badań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zakwalifikowano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Poziomu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III</w:t>
            </w:r>
          </w:p>
        </w:tc>
      </w:tr>
      <w:tr w:rsidR="00B66260" w:rsidRPr="00ED49E2" w:rsidTr="0071183E">
        <w:trPr>
          <w:trHeight w:val="6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1,5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punktu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Jeśli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wyniki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badań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zakwalifikowano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Poziomu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IV</w:t>
            </w:r>
          </w:p>
        </w:tc>
      </w:tr>
      <w:tr w:rsidR="00B66260" w:rsidRPr="00ED49E2" w:rsidTr="0071183E">
        <w:trPr>
          <w:trHeight w:val="6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2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Jeśli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wyniki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badań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zakwalifikowano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Poziomu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V</w:t>
            </w:r>
          </w:p>
        </w:tc>
      </w:tr>
      <w:tr w:rsidR="00B66260" w:rsidRPr="00ED49E2" w:rsidTr="0071183E">
        <w:trPr>
          <w:trHeight w:val="6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3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Jeśli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wyniki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badań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zakwalifikowano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Poziomu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VI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lub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wyższego</w:t>
            </w:r>
          </w:p>
        </w:tc>
      </w:tr>
      <w:tr w:rsidR="00B66260" w:rsidRPr="00ED49E2" w:rsidTr="0071183E">
        <w:trPr>
          <w:trHeight w:val="568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ind w:left="113" w:right="113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RYNEK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3.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Znajomość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rynku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docelowego</w:t>
            </w:r>
          </w:p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lastRenderedPageBreak/>
              <w:t>(maks.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3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pkt)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lastRenderedPageBreak/>
              <w:t>1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Scharakteryzowano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rynek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docelowy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dla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produktu/usługi,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wskazując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segmenty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klientów</w:t>
            </w:r>
          </w:p>
        </w:tc>
      </w:tr>
      <w:tr w:rsidR="00B66260" w:rsidRPr="00ED49E2" w:rsidTr="0071183E">
        <w:trPr>
          <w:trHeight w:val="548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1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Scharakteryzowano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podmioty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oferujące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alternatywne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sposoby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zaspokajania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zdiagnozowanej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potrzeby</w:t>
            </w:r>
          </w:p>
        </w:tc>
      </w:tr>
      <w:tr w:rsidR="00B66260" w:rsidRPr="00ED49E2" w:rsidTr="0071183E">
        <w:trPr>
          <w:trHeight w:val="858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1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Scharakteryzowano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obszary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ryzyka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bariery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wykorzystania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produktu/usługi</w:t>
            </w:r>
            <w:r w:rsidRPr="00ED49E2">
              <w:rPr>
                <w:rFonts w:ascii="Arial" w:eastAsia="Arial" w:hAnsi="Arial" w:cs="Arial"/>
              </w:rPr>
              <w:br/>
              <w:t>w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działalności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przedsiębiorstw</w:t>
            </w:r>
          </w:p>
        </w:tc>
      </w:tr>
      <w:tr w:rsidR="00B66260" w:rsidRPr="00ED49E2" w:rsidTr="0071183E">
        <w:trPr>
          <w:trHeight w:val="558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ind w:left="113" w:right="113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ZESPÓŁ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4.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Interdyscyplinarność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Zespołu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="00B45E13">
              <w:rPr>
                <w:rFonts w:ascii="Arial" w:eastAsia="Arial" w:hAnsi="Arial" w:cs="Arial"/>
              </w:rPr>
              <w:t>B</w:t>
            </w:r>
            <w:r w:rsidR="00B45E13" w:rsidRPr="00ED49E2">
              <w:rPr>
                <w:rFonts w:ascii="Arial" w:eastAsia="Arial" w:hAnsi="Arial" w:cs="Arial"/>
              </w:rPr>
              <w:t>adawczego</w:t>
            </w:r>
          </w:p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(maks.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2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pkt)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0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punktów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W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składzie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Zespołu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Badawczego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znajdują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się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wyłącznie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osoby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będące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pracownikami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jednej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Uczelni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Partnerskich</w:t>
            </w:r>
          </w:p>
        </w:tc>
      </w:tr>
      <w:tr w:rsidR="00B66260" w:rsidRPr="00ED49E2" w:rsidTr="0071183E">
        <w:trPr>
          <w:trHeight w:val="858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1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W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skład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Zespołu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Badawczego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wchodzą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pracownicy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2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Uczelni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Partnerskich</w:t>
            </w:r>
          </w:p>
        </w:tc>
      </w:tr>
      <w:tr w:rsidR="00B66260" w:rsidRPr="00ED49E2" w:rsidTr="0071183E">
        <w:trPr>
          <w:trHeight w:val="858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2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W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skład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Zespołu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Badawczego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wchodzą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pracownicy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3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Uczelni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Partnerskich</w:t>
            </w:r>
          </w:p>
        </w:tc>
      </w:tr>
      <w:tr w:rsidR="00B66260" w:rsidRPr="00ED49E2" w:rsidTr="0071183E">
        <w:trPr>
          <w:trHeight w:val="1745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ind w:left="113" w:right="113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KOMERCJALIZACJA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5.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Przygotowanie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ścieżki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komercjalizacji</w:t>
            </w:r>
          </w:p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(maks.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2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pkt)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1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Wskazano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na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sposób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komercjalizacji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bez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przedstawienia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planowanych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podjęcia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działań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w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tym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zakresie</w:t>
            </w:r>
          </w:p>
        </w:tc>
      </w:tr>
      <w:tr w:rsidR="00B66260" w:rsidRPr="00ED49E2" w:rsidTr="0071183E">
        <w:trPr>
          <w:trHeight w:val="1244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60" w:rsidRPr="00ED49E2" w:rsidRDefault="00B66260" w:rsidP="0071183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1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punkt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60" w:rsidRPr="00ED49E2" w:rsidRDefault="00B66260" w:rsidP="0071183E">
            <w:pPr>
              <w:spacing w:before="240" w:after="240" w:line="360" w:lineRule="auto"/>
              <w:rPr>
                <w:rFonts w:ascii="Arial" w:eastAsia="Arial" w:hAnsi="Arial" w:cs="Arial"/>
              </w:rPr>
            </w:pPr>
            <w:r w:rsidRPr="00ED49E2">
              <w:rPr>
                <w:rFonts w:ascii="Arial" w:eastAsia="Arial" w:hAnsi="Arial" w:cs="Arial"/>
              </w:rPr>
              <w:t>Opisano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planowane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="00B45E13" w:rsidRPr="00ED49E2">
              <w:rPr>
                <w:rFonts w:ascii="Arial" w:eastAsia="Arial" w:hAnsi="Arial" w:cs="Arial"/>
              </w:rPr>
              <w:t>do</w:t>
            </w:r>
            <w:r w:rsidR="00B45E13">
              <w:rPr>
                <w:rFonts w:ascii="Arial" w:eastAsia="Arial" w:hAnsi="Arial" w:cs="Arial"/>
              </w:rPr>
              <w:t> </w:t>
            </w:r>
            <w:r w:rsidRPr="00ED49E2">
              <w:rPr>
                <w:rFonts w:ascii="Arial" w:eastAsia="Arial" w:hAnsi="Arial" w:cs="Arial"/>
              </w:rPr>
              <w:t>podjęcia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działania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zmierzające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do</w:t>
            </w:r>
            <w:r w:rsidR="0071183E">
              <w:rPr>
                <w:rFonts w:ascii="Arial" w:eastAsia="Arial" w:hAnsi="Arial" w:cs="Arial"/>
              </w:rPr>
              <w:t xml:space="preserve"> </w:t>
            </w:r>
            <w:r w:rsidRPr="00ED49E2">
              <w:rPr>
                <w:rFonts w:ascii="Arial" w:eastAsia="Arial" w:hAnsi="Arial" w:cs="Arial"/>
              </w:rPr>
              <w:t>komercjalizacji</w:t>
            </w:r>
            <w:r w:rsidR="0071183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F54DD" w:rsidRPr="00ED49E2" w:rsidRDefault="00AF54DD" w:rsidP="00B66260">
      <w:pPr>
        <w:pStyle w:val="Default"/>
        <w:spacing w:before="240"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:rsidR="00B66260" w:rsidRPr="007F6BF5" w:rsidRDefault="00B66260" w:rsidP="00AF54DD">
      <w:pPr>
        <w:pStyle w:val="Default"/>
        <w:numPr>
          <w:ilvl w:val="0"/>
          <w:numId w:val="8"/>
        </w:numPr>
        <w:tabs>
          <w:tab w:val="left" w:pos="426"/>
        </w:tabs>
        <w:autoSpaceDE/>
        <w:autoSpaceDN/>
        <w:adjustRightInd/>
        <w:spacing w:before="240" w:after="240" w:line="360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Uzyskanie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liczby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punktów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równej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0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w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jednej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z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kategorii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skutkuje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odrzuceniem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wniosku.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</w:p>
    <w:p w:rsidR="00ED49E2" w:rsidRPr="007F6BF5" w:rsidRDefault="00B66260" w:rsidP="00AF54DD">
      <w:pPr>
        <w:pStyle w:val="Default"/>
        <w:numPr>
          <w:ilvl w:val="0"/>
          <w:numId w:val="8"/>
        </w:numPr>
        <w:tabs>
          <w:tab w:val="left" w:pos="851"/>
        </w:tabs>
        <w:autoSpaceDE/>
        <w:autoSpaceDN/>
        <w:adjustRightInd/>
        <w:spacing w:before="240" w:after="240" w:line="360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Rozstrzygnięcia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Komisji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konkursowej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są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ostateczne</w:t>
      </w:r>
      <w:r w:rsidR="00B45E13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.</w:t>
      </w:r>
    </w:p>
    <w:p w:rsidR="00F26856" w:rsidRPr="007F6BF5" w:rsidRDefault="00ED49E2" w:rsidP="00F26856">
      <w:pPr>
        <w:pStyle w:val="Default"/>
        <w:numPr>
          <w:ilvl w:val="0"/>
          <w:numId w:val="8"/>
        </w:numPr>
        <w:tabs>
          <w:tab w:val="left" w:pos="851"/>
        </w:tabs>
        <w:autoSpaceDE/>
        <w:autoSpaceDN/>
        <w:adjustRightInd/>
        <w:spacing w:before="240" w:after="240" w:line="360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Po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zakończeniu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realizacji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="0060031C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Proj</w:t>
      </w:r>
      <w:r w:rsidR="00AF6703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ek</w:t>
      </w:r>
      <w:r w:rsidR="0060031C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tu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="004722F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Zespół badawczy </w:t>
      </w:r>
      <w:r w:rsidR="0060031C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przekaz</w:t>
      </w:r>
      <w:r w:rsidR="004722F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uje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="0060031C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pisemny</w:t>
      </w:r>
      <w:r w:rsidR="0071183E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="0060031C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raport</w:t>
      </w:r>
      <w:r w:rsidR="00AF6703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="00B45E13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z </w:t>
      </w:r>
      <w:r w:rsidR="00AF6703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realizacji</w:t>
      </w:r>
      <w:r w:rsidR="004722F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Projektu</w:t>
      </w:r>
      <w:r w:rsidR="00AF6703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="00AF6703" w:rsidRPr="007F6BF5">
        <w:rPr>
          <w:rFonts w:ascii="Arial" w:eastAsia="Arial" w:hAnsi="Arial" w:cs="Arial"/>
          <w:color w:val="000000" w:themeColor="text1"/>
          <w:sz w:val="22"/>
          <w:szCs w:val="22"/>
        </w:rPr>
        <w:t>w Uczelni Partnerskiej</w:t>
      </w:r>
      <w:r w:rsidR="000152E8" w:rsidRPr="007F6BF5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AF6703" w:rsidRPr="007F6BF5">
        <w:rPr>
          <w:rFonts w:ascii="Arial" w:eastAsia="Arial" w:hAnsi="Arial" w:cs="Arial"/>
          <w:color w:val="000000" w:themeColor="text1"/>
          <w:sz w:val="22"/>
          <w:szCs w:val="22"/>
        </w:rPr>
        <w:t xml:space="preserve"> w której jest zatrudniony Lider</w:t>
      </w:r>
      <w:r w:rsidR="0060031C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.</w:t>
      </w:r>
      <w:r w:rsidR="003A278F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="00F26856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Raport powinien zawierać </w:t>
      </w:r>
      <w:r w:rsidR="0042691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opis</w:t>
      </w:r>
      <w:r w:rsidR="00F26856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metod badawcz</w:t>
      </w:r>
      <w:r w:rsidR="0042691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ych</w:t>
      </w:r>
      <w:r w:rsidR="00F26856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="0042691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wraz z</w:t>
      </w:r>
      <w:r w:rsidR="00F26856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wynik</w:t>
      </w:r>
      <w:r w:rsidR="0042691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ami</w:t>
      </w:r>
      <w:r w:rsidR="00F26856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testów i analiz, własne oceny</w:t>
      </w:r>
      <w:r w:rsidR="0042691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i </w:t>
      </w:r>
      <w:r w:rsidR="00F26856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wnioski, </w:t>
      </w:r>
      <w:r w:rsidR="0042691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opis </w:t>
      </w:r>
      <w:r w:rsidR="00F26856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perspektyw wdrożenia i/lub komercjalizacji</w:t>
      </w:r>
      <w:r w:rsid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oraz</w:t>
      </w:r>
      <w:r w:rsidR="0042691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podsumowanie</w:t>
      </w:r>
      <w:r w:rsidR="00F26856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.</w:t>
      </w:r>
      <w:r w:rsidR="0042691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Wszystkie podjęte działania powinny być udokumentowane. </w:t>
      </w:r>
    </w:p>
    <w:p w:rsidR="00B66260" w:rsidRPr="007F6BF5" w:rsidRDefault="003A278F" w:rsidP="00AF54DD">
      <w:pPr>
        <w:pStyle w:val="Default"/>
        <w:numPr>
          <w:ilvl w:val="0"/>
          <w:numId w:val="8"/>
        </w:numPr>
        <w:tabs>
          <w:tab w:val="left" w:pos="851"/>
        </w:tabs>
        <w:autoSpaceDE/>
        <w:autoSpaceDN/>
        <w:adjustRightInd/>
        <w:spacing w:before="240" w:after="240" w:line="360" w:lineRule="auto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Raport zostanie przekazany w terminie 7 dni roboczych od zakończenia</w:t>
      </w:r>
      <w:r w:rsidR="000152E8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r w:rsidR="004722F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>Projektu</w:t>
      </w:r>
      <w:r w:rsidR="000152E8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, </w:t>
      </w:r>
      <w:r w:rsidR="004722FD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nie później jednak niż </w:t>
      </w:r>
      <w:r w:rsidR="000152E8" w:rsidRPr="007F6BF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do dnia 10 grudnia 2024 r.</w:t>
      </w:r>
    </w:p>
    <w:p w:rsidR="00B66260" w:rsidRPr="00ED49E2" w:rsidRDefault="00B66260" w:rsidP="00B66260">
      <w:pPr>
        <w:pStyle w:val="Default"/>
        <w:spacing w:before="240" w:after="24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ED49E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§</w:t>
      </w:r>
      <w:r w:rsidR="0071183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7.</w:t>
      </w:r>
    </w:p>
    <w:p w:rsidR="00B66260" w:rsidRPr="00ED49E2" w:rsidRDefault="00B66260" w:rsidP="00B66260">
      <w:pPr>
        <w:pStyle w:val="Default"/>
        <w:spacing w:before="240" w:after="24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ED49E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Postanowienia</w:t>
      </w:r>
      <w:r w:rsidR="0071183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ED49E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końcowe</w:t>
      </w:r>
    </w:p>
    <w:p w:rsidR="00B66260" w:rsidRPr="00ED49E2" w:rsidRDefault="00B66260" w:rsidP="00B66260">
      <w:pPr>
        <w:pStyle w:val="Default"/>
        <w:jc w:val="center"/>
        <w:rPr>
          <w:rFonts w:ascii="Arial" w:eastAsia="Arial" w:hAnsi="Arial" w:cs="Arial"/>
          <w:bCs/>
          <w:sz w:val="22"/>
          <w:szCs w:val="22"/>
        </w:rPr>
      </w:pPr>
    </w:p>
    <w:p w:rsidR="00B66260" w:rsidRPr="00ED49E2" w:rsidRDefault="00B66260" w:rsidP="00AF54DD">
      <w:pPr>
        <w:pStyle w:val="Akapitzlist"/>
        <w:numPr>
          <w:ilvl w:val="3"/>
          <w:numId w:val="13"/>
        </w:numPr>
        <w:spacing w:before="240" w:after="240" w:line="360" w:lineRule="auto"/>
        <w:ind w:left="284" w:hanging="284"/>
        <w:jc w:val="both"/>
        <w:rPr>
          <w:rFonts w:ascii="Arial" w:eastAsia="Arial" w:hAnsi="Arial" w:cs="Arial"/>
          <w:bCs/>
          <w:color w:val="000000"/>
        </w:rPr>
      </w:pPr>
      <w:r w:rsidRPr="00ED49E2">
        <w:rPr>
          <w:rFonts w:ascii="Arial" w:eastAsia="Arial" w:hAnsi="Arial" w:cs="Arial"/>
          <w:bCs/>
          <w:color w:val="000000" w:themeColor="text1"/>
        </w:rPr>
        <w:t>W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sprawach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nieuregulowanych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niniejszym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Regulaminem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decyzje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podejmuje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Przewodniczący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Komisji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Konkursowej.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</w:p>
    <w:p w:rsidR="00B66260" w:rsidRPr="00ED49E2" w:rsidRDefault="00B66260" w:rsidP="00AF54DD">
      <w:pPr>
        <w:pStyle w:val="Akapitzlist"/>
        <w:numPr>
          <w:ilvl w:val="3"/>
          <w:numId w:val="13"/>
        </w:numPr>
        <w:spacing w:before="240" w:after="240" w:line="360" w:lineRule="auto"/>
        <w:ind w:left="284" w:hanging="284"/>
        <w:jc w:val="both"/>
        <w:rPr>
          <w:rFonts w:ascii="Arial" w:eastAsia="Arial" w:hAnsi="Arial" w:cs="Arial"/>
          <w:bCs/>
          <w:color w:val="000000"/>
        </w:rPr>
      </w:pPr>
      <w:r w:rsidRPr="00ED49E2">
        <w:rPr>
          <w:rFonts w:ascii="Arial" w:eastAsia="Arial" w:hAnsi="Arial" w:cs="Arial"/>
          <w:bCs/>
          <w:color w:val="000000" w:themeColor="text1"/>
        </w:rPr>
        <w:t>Uczelnie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Partnerskie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zastrzega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sobie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prawo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do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zmiany</w:t>
      </w:r>
      <w:r w:rsidR="0071183E">
        <w:rPr>
          <w:rFonts w:ascii="Arial" w:eastAsia="Arial" w:hAnsi="Arial" w:cs="Arial"/>
          <w:bCs/>
          <w:color w:val="000000" w:themeColor="text1"/>
        </w:rPr>
        <w:t xml:space="preserve"> </w:t>
      </w:r>
      <w:r w:rsidRPr="00ED49E2">
        <w:rPr>
          <w:rFonts w:ascii="Arial" w:eastAsia="Arial" w:hAnsi="Arial" w:cs="Arial"/>
          <w:bCs/>
          <w:color w:val="000000" w:themeColor="text1"/>
        </w:rPr>
        <w:t>Regulaminu.</w:t>
      </w:r>
    </w:p>
    <w:p w:rsidR="00B66260" w:rsidRPr="00ED49E2" w:rsidRDefault="00B66260" w:rsidP="00B66260">
      <w:pPr>
        <w:spacing w:before="240" w:after="240" w:line="360" w:lineRule="auto"/>
        <w:jc w:val="both"/>
        <w:rPr>
          <w:rFonts w:ascii="Arial" w:eastAsia="Arial" w:hAnsi="Arial" w:cs="Arial"/>
          <w:bCs/>
          <w:color w:val="000000"/>
        </w:rPr>
      </w:pPr>
    </w:p>
    <w:p w:rsidR="00ED49E2" w:rsidRPr="00ED49E2" w:rsidRDefault="00ED49E2" w:rsidP="00B66260">
      <w:pPr>
        <w:spacing w:before="240" w:after="240" w:line="360" w:lineRule="auto"/>
        <w:jc w:val="both"/>
        <w:rPr>
          <w:rFonts w:ascii="Arial" w:eastAsia="Arial" w:hAnsi="Arial" w:cs="Arial"/>
          <w:bCs/>
          <w:color w:val="000000"/>
        </w:rPr>
      </w:pPr>
    </w:p>
    <w:p w:rsidR="00B66260" w:rsidRPr="00ED49E2" w:rsidRDefault="00B66260" w:rsidP="00B66260">
      <w:pPr>
        <w:spacing w:before="240" w:after="240" w:line="360" w:lineRule="auto"/>
        <w:jc w:val="both"/>
        <w:rPr>
          <w:rFonts w:ascii="Arial" w:eastAsia="Arial" w:hAnsi="Arial" w:cs="Arial"/>
          <w:bCs/>
          <w:color w:val="000000"/>
        </w:rPr>
      </w:pPr>
      <w:r w:rsidRPr="00ED49E2">
        <w:rPr>
          <w:rFonts w:ascii="Arial" w:eastAsia="Arial" w:hAnsi="Arial" w:cs="Arial"/>
          <w:bCs/>
          <w:color w:val="000000"/>
        </w:rPr>
        <w:t>Załączniki:</w:t>
      </w:r>
    </w:p>
    <w:p w:rsidR="00B66260" w:rsidRPr="00ED49E2" w:rsidRDefault="00B66260" w:rsidP="00B66260">
      <w:pPr>
        <w:pStyle w:val="Akapitzlist"/>
        <w:numPr>
          <w:ilvl w:val="0"/>
          <w:numId w:val="14"/>
        </w:numPr>
        <w:spacing w:before="240" w:after="240" w:line="360" w:lineRule="auto"/>
        <w:jc w:val="both"/>
        <w:rPr>
          <w:rFonts w:ascii="Arial" w:eastAsia="Arial" w:hAnsi="Arial" w:cs="Arial"/>
          <w:bCs/>
          <w:color w:val="000000"/>
        </w:rPr>
      </w:pPr>
      <w:r w:rsidRPr="00ED49E2">
        <w:rPr>
          <w:rFonts w:ascii="Arial" w:eastAsia="Arial" w:hAnsi="Arial" w:cs="Arial"/>
          <w:bCs/>
          <w:color w:val="000000"/>
        </w:rPr>
        <w:t>Formularz</w:t>
      </w:r>
      <w:r w:rsidR="0071183E">
        <w:rPr>
          <w:rFonts w:ascii="Arial" w:eastAsia="Arial" w:hAnsi="Arial" w:cs="Arial"/>
          <w:bCs/>
          <w:color w:val="000000"/>
        </w:rPr>
        <w:t xml:space="preserve"> </w:t>
      </w:r>
      <w:r w:rsidRPr="00ED49E2">
        <w:rPr>
          <w:rFonts w:ascii="Arial" w:eastAsia="Arial" w:hAnsi="Arial" w:cs="Arial"/>
          <w:bCs/>
          <w:color w:val="000000"/>
        </w:rPr>
        <w:t>zgłoszeniowy</w:t>
      </w:r>
      <w:r w:rsidR="0071183E">
        <w:rPr>
          <w:rFonts w:ascii="Arial" w:eastAsia="Arial" w:hAnsi="Arial" w:cs="Arial"/>
          <w:bCs/>
          <w:color w:val="000000"/>
        </w:rPr>
        <w:t xml:space="preserve"> </w:t>
      </w:r>
      <w:r w:rsidRPr="00ED49E2">
        <w:rPr>
          <w:rFonts w:ascii="Arial" w:eastAsia="Arial" w:hAnsi="Arial" w:cs="Arial"/>
          <w:bCs/>
          <w:color w:val="000000"/>
        </w:rPr>
        <w:t>do</w:t>
      </w:r>
      <w:r w:rsidR="0071183E">
        <w:rPr>
          <w:rFonts w:ascii="Arial" w:eastAsia="Arial" w:hAnsi="Arial" w:cs="Arial"/>
          <w:bCs/>
          <w:color w:val="000000"/>
        </w:rPr>
        <w:t xml:space="preserve"> </w:t>
      </w:r>
      <w:r w:rsidRPr="00ED49E2">
        <w:rPr>
          <w:rFonts w:ascii="Arial" w:eastAsia="Arial" w:hAnsi="Arial" w:cs="Arial"/>
          <w:bCs/>
          <w:color w:val="000000"/>
        </w:rPr>
        <w:t>konkursu</w:t>
      </w:r>
      <w:r w:rsidR="0071183E">
        <w:rPr>
          <w:rFonts w:ascii="Arial" w:eastAsia="Arial" w:hAnsi="Arial" w:cs="Arial"/>
          <w:bCs/>
          <w:color w:val="000000"/>
        </w:rPr>
        <w:t xml:space="preserve"> </w:t>
      </w:r>
      <w:r w:rsidRPr="00ED49E2">
        <w:rPr>
          <w:rFonts w:ascii="Arial" w:eastAsia="Arial" w:hAnsi="Arial" w:cs="Arial"/>
          <w:bCs/>
          <w:color w:val="000000"/>
        </w:rPr>
        <w:t>„INNOSPIN</w:t>
      </w:r>
      <w:r w:rsidR="00AF54DD">
        <w:rPr>
          <w:rFonts w:ascii="Arial" w:eastAsia="Arial" w:hAnsi="Arial" w:cs="Arial"/>
          <w:bCs/>
          <w:color w:val="000000"/>
        </w:rPr>
        <w:t xml:space="preserve"> EDYCJA 2024</w:t>
      </w:r>
      <w:r w:rsidRPr="00ED49E2">
        <w:rPr>
          <w:rFonts w:ascii="Arial" w:eastAsia="Arial" w:hAnsi="Arial" w:cs="Arial"/>
          <w:bCs/>
          <w:color w:val="000000"/>
        </w:rPr>
        <w:t>”</w:t>
      </w:r>
      <w:r w:rsidR="00AF54DD">
        <w:rPr>
          <w:rFonts w:ascii="Arial" w:eastAsia="Arial" w:hAnsi="Arial" w:cs="Arial"/>
          <w:bCs/>
          <w:color w:val="000000"/>
        </w:rPr>
        <w:t>;</w:t>
      </w:r>
    </w:p>
    <w:p w:rsidR="00B66260" w:rsidRPr="00ED49E2" w:rsidRDefault="00B66260" w:rsidP="00B66260">
      <w:pPr>
        <w:pStyle w:val="Akapitzlist"/>
        <w:numPr>
          <w:ilvl w:val="0"/>
          <w:numId w:val="14"/>
        </w:numPr>
        <w:spacing w:before="240" w:after="240" w:line="360" w:lineRule="auto"/>
        <w:jc w:val="both"/>
        <w:rPr>
          <w:rFonts w:ascii="Arial" w:eastAsia="Arial" w:hAnsi="Arial" w:cs="Arial"/>
        </w:rPr>
      </w:pPr>
      <w:r w:rsidRPr="00ED49E2">
        <w:rPr>
          <w:rFonts w:ascii="Arial" w:eastAsia="Arial" w:hAnsi="Arial" w:cs="Arial"/>
          <w:bCs/>
          <w:color w:val="000000"/>
        </w:rPr>
        <w:t>Kosztorys</w:t>
      </w:r>
      <w:r w:rsidR="0071183E">
        <w:rPr>
          <w:rFonts w:ascii="Arial" w:eastAsia="Arial" w:hAnsi="Arial" w:cs="Arial"/>
          <w:bCs/>
          <w:color w:val="000000"/>
        </w:rPr>
        <w:t xml:space="preserve"> </w:t>
      </w:r>
      <w:r w:rsidRPr="00ED49E2">
        <w:rPr>
          <w:rFonts w:ascii="Arial" w:eastAsia="Arial" w:hAnsi="Arial" w:cs="Arial"/>
          <w:bCs/>
          <w:color w:val="000000"/>
        </w:rPr>
        <w:t>wniosku</w:t>
      </w:r>
      <w:r w:rsidR="00AF54DD">
        <w:rPr>
          <w:rFonts w:ascii="Arial" w:eastAsia="Arial" w:hAnsi="Arial" w:cs="Arial"/>
          <w:bCs/>
          <w:color w:val="000000"/>
        </w:rPr>
        <w:t>.</w:t>
      </w:r>
    </w:p>
    <w:sectPr w:rsidR="00B66260" w:rsidRPr="00ED49E2" w:rsidSect="0046676E">
      <w:headerReference w:type="default" r:id="rId10"/>
      <w:footerReference w:type="default" r:id="rId11"/>
      <w:pgSz w:w="11906" w:h="16838"/>
      <w:pgMar w:top="1985" w:right="1418" w:bottom="1418" w:left="1418" w:header="107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2E4C71" w16cex:dateUtc="2024-03-26T06:37:00Z"/>
  <w16cex:commentExtensible w16cex:durableId="7F0BB348" w16cex:dateUtc="2024-03-26T06:4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E58" w:rsidRDefault="00F96E58" w:rsidP="00FF4F46">
      <w:pPr>
        <w:spacing w:after="0" w:line="240" w:lineRule="auto"/>
      </w:pPr>
      <w:r>
        <w:separator/>
      </w:r>
    </w:p>
  </w:endnote>
  <w:endnote w:type="continuationSeparator" w:id="0">
    <w:p w:rsidR="00F96E58" w:rsidRDefault="00F96E58" w:rsidP="00FF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3E" w:rsidRPr="00D01A0D" w:rsidRDefault="0071183E" w:rsidP="002E3CE2">
    <w:pPr>
      <w:spacing w:before="120" w:after="0" w:line="240" w:lineRule="auto"/>
      <w:ind w:left="567"/>
      <w:jc w:val="center"/>
      <w:rPr>
        <w:rFonts w:ascii="Times New Roman" w:eastAsia="Times New Roman" w:hAnsi="Times New Roman" w:cs="Times New Roman"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175037</wp:posOffset>
          </wp:positionV>
          <wp:extent cx="1524000" cy="471170"/>
          <wp:effectExtent l="0" t="0" r="0" b="0"/>
          <wp:wrapNone/>
          <wp:docPr id="4" name="Obraz 0" descr="Logo_MNiSW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NiSW_kolor_biale_t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92544" behindDoc="0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168938</wp:posOffset>
          </wp:positionV>
          <wp:extent cx="853757" cy="477669"/>
          <wp:effectExtent l="0" t="0" r="3810" b="0"/>
          <wp:wrapNone/>
          <wp:docPr id="7" name="Obraz 6" descr="Logo_ministra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nistra_kolor_biale_t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3757" cy="477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039" w:rsidRPr="001C4039">
      <w:rPr>
        <w:rFonts w:ascii="Times New Roman" w:eastAsia="Times New Roman" w:hAnsi="Times New Roman" w:cs="Times New Roman"/>
        <w:noProof/>
        <w:sz w:val="16"/>
        <w:szCs w:val="16"/>
        <w:lang w:eastAsia="pl-PL"/>
      </w:rPr>
      <w:pict>
        <v:line id="Łącznik prosty 1" o:spid="_x0000_s4097" style="position:absolute;left:0;text-align:left;z-index:251623936;visibility:visible;mso-wrap-distance-top:-6e-5mm;mso-wrap-distance-bottom:-6e-5mm;mso-position-horizontal-relative:page;mso-position-vertical-relative:page;mso-width-relative:margin;mso-height-relative:margin" from="42.55pt,753.2pt" to="522pt,7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" strokecolor="#a5a5a5 [3206]" strokeweight="1pt">
          <v:stroke joinstyle="miter"/>
          <w10:wrap anchorx="page" anchory="page"/>
        </v:line>
      </w:pict>
    </w:r>
  </w:p>
  <w:p w:rsidR="0071183E" w:rsidRPr="007A4C95" w:rsidRDefault="0071183E" w:rsidP="000D4CC6">
    <w:pPr>
      <w:spacing w:after="0" w:line="240" w:lineRule="auto"/>
      <w:ind w:right="1418"/>
      <w:jc w:val="center"/>
      <w:rPr>
        <w:rFonts w:eastAsia="Times New Roman" w:cstheme="minorHAnsi"/>
        <w:sz w:val="20"/>
        <w:szCs w:val="24"/>
        <w:lang w:eastAsia="pl-PL"/>
      </w:rPr>
    </w:pPr>
    <w:r w:rsidRPr="007A4C95">
      <w:rPr>
        <w:rFonts w:cstheme="minorHAnsi"/>
        <w:sz w:val="16"/>
        <w:szCs w:val="16"/>
      </w:rPr>
      <w:t xml:space="preserve">Zadanie finansowane w ramach </w:t>
    </w:r>
    <w:r>
      <w:rPr>
        <w:rFonts w:cstheme="minorHAnsi"/>
        <w:sz w:val="16"/>
        <w:szCs w:val="16"/>
      </w:rPr>
      <w:t>zlecenia Ministra Nauki</w:t>
    </w:r>
    <w:r>
      <w:rPr>
        <w:rFonts w:cstheme="minorHAnsi"/>
        <w:sz w:val="16"/>
        <w:szCs w:val="16"/>
      </w:rPr>
      <w:br/>
    </w:r>
    <w:r w:rsidRPr="007A4C95">
      <w:rPr>
        <w:rFonts w:cstheme="minorHAnsi"/>
        <w:sz w:val="16"/>
        <w:szCs w:val="16"/>
      </w:rPr>
      <w:t>pod nazwą „Politechniczna Sieć VIA C</w:t>
    </w:r>
    <w:r>
      <w:rPr>
        <w:rFonts w:cstheme="minorHAnsi"/>
        <w:sz w:val="16"/>
        <w:szCs w:val="16"/>
      </w:rPr>
      <w:t xml:space="preserve">ARPATIA im. Prezydenta RP Lecha </w:t>
    </w:r>
    <w:r w:rsidRPr="007A4C95">
      <w:rPr>
        <w:rFonts w:cstheme="minorHAnsi"/>
        <w:sz w:val="16"/>
        <w:szCs w:val="16"/>
      </w:rPr>
      <w:t xml:space="preserve">Kaczyńskiego” </w:t>
    </w:r>
    <w:r>
      <w:rPr>
        <w:rFonts w:cstheme="minorHAnsi"/>
        <w:sz w:val="16"/>
        <w:szCs w:val="16"/>
      </w:rPr>
      <w:br/>
    </w:r>
    <w:r w:rsidRPr="007A4C95">
      <w:rPr>
        <w:rFonts w:cstheme="minorHAnsi"/>
        <w:sz w:val="16"/>
        <w:szCs w:val="16"/>
      </w:rPr>
      <w:t xml:space="preserve">w latach 2022-2025, kwota finansowania </w:t>
    </w:r>
    <w:r w:rsidRPr="00785CB2">
      <w:rPr>
        <w:rFonts w:cstheme="minorHAnsi"/>
        <w:sz w:val="16"/>
        <w:szCs w:val="16"/>
      </w:rPr>
      <w:t>10 990</w:t>
    </w:r>
    <w:r>
      <w:rPr>
        <w:rFonts w:cstheme="minorHAnsi"/>
        <w:sz w:val="16"/>
        <w:szCs w:val="16"/>
      </w:rPr>
      <w:t> </w:t>
    </w:r>
    <w:r w:rsidRPr="00785CB2">
      <w:rPr>
        <w:rFonts w:cstheme="minorHAnsi"/>
        <w:sz w:val="16"/>
        <w:szCs w:val="16"/>
      </w:rPr>
      <w:t xml:space="preserve">546 </w:t>
    </w:r>
    <w:r w:rsidRPr="007A4C95">
      <w:rPr>
        <w:rFonts w:cstheme="minorHAnsi"/>
        <w:sz w:val="16"/>
        <w:szCs w:val="16"/>
      </w:rPr>
      <w:t>zł</w:t>
    </w:r>
  </w:p>
  <w:p w:rsidR="0071183E" w:rsidRDefault="0071183E" w:rsidP="00FF4F46">
    <w:pPr>
      <w:pStyle w:val="Stopka"/>
      <w:tabs>
        <w:tab w:val="clear" w:pos="4536"/>
        <w:tab w:val="clear" w:pos="9072"/>
        <w:tab w:val="left" w:pos="22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E58" w:rsidRDefault="00F96E58" w:rsidP="00FF4F46">
      <w:pPr>
        <w:spacing w:after="0" w:line="240" w:lineRule="auto"/>
      </w:pPr>
      <w:r>
        <w:separator/>
      </w:r>
    </w:p>
  </w:footnote>
  <w:footnote w:type="continuationSeparator" w:id="0">
    <w:p w:rsidR="00F96E58" w:rsidRDefault="00F96E58" w:rsidP="00FF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3E" w:rsidRDefault="007118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-835660</wp:posOffset>
          </wp:positionV>
          <wp:extent cx="6654222" cy="1609632"/>
          <wp:effectExtent l="0" t="0" r="0" b="0"/>
          <wp:wrapNone/>
          <wp:docPr id="1587675976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75976" name="Obraz 1" descr="Obraz zawierający tekst, Czcionka, zrzut ekranu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222" cy="1609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A0B"/>
    <w:multiLevelType w:val="hybridMultilevel"/>
    <w:tmpl w:val="0CDC9878"/>
    <w:lvl w:ilvl="0" w:tplc="CD12CC0A">
      <w:start w:val="1"/>
      <w:numFmt w:val="decimal"/>
      <w:lvlText w:val="%1."/>
      <w:lvlJc w:val="left"/>
      <w:pPr>
        <w:ind w:left="720" w:hanging="360"/>
      </w:pPr>
    </w:lvl>
    <w:lvl w:ilvl="1" w:tplc="22F8E6B4">
      <w:start w:val="1"/>
      <w:numFmt w:val="decimal"/>
      <w:lvlText w:val="%2)"/>
      <w:lvlJc w:val="left"/>
      <w:pPr>
        <w:ind w:left="1440" w:hanging="360"/>
      </w:pPr>
    </w:lvl>
    <w:lvl w:ilvl="2" w:tplc="0750FDFA">
      <w:start w:val="1"/>
      <w:numFmt w:val="lowerRoman"/>
      <w:lvlText w:val="%3."/>
      <w:lvlJc w:val="right"/>
      <w:pPr>
        <w:ind w:left="2160" w:hanging="180"/>
      </w:pPr>
    </w:lvl>
    <w:lvl w:ilvl="3" w:tplc="F5A66664">
      <w:start w:val="1"/>
      <w:numFmt w:val="decimal"/>
      <w:lvlText w:val="%4."/>
      <w:lvlJc w:val="left"/>
      <w:pPr>
        <w:ind w:left="2880" w:hanging="360"/>
      </w:pPr>
    </w:lvl>
    <w:lvl w:ilvl="4" w:tplc="A74CB6BC">
      <w:start w:val="1"/>
      <w:numFmt w:val="lowerLetter"/>
      <w:lvlText w:val="%5."/>
      <w:lvlJc w:val="left"/>
      <w:pPr>
        <w:ind w:left="3600" w:hanging="360"/>
      </w:pPr>
    </w:lvl>
    <w:lvl w:ilvl="5" w:tplc="E94CAFF8">
      <w:start w:val="1"/>
      <w:numFmt w:val="lowerRoman"/>
      <w:lvlText w:val="%6."/>
      <w:lvlJc w:val="right"/>
      <w:pPr>
        <w:ind w:left="4320" w:hanging="180"/>
      </w:pPr>
    </w:lvl>
    <w:lvl w:ilvl="6" w:tplc="5CBE8368">
      <w:start w:val="1"/>
      <w:numFmt w:val="decimal"/>
      <w:lvlText w:val="%7."/>
      <w:lvlJc w:val="left"/>
      <w:pPr>
        <w:ind w:left="5040" w:hanging="360"/>
      </w:pPr>
    </w:lvl>
    <w:lvl w:ilvl="7" w:tplc="B4FC9B6E">
      <w:start w:val="1"/>
      <w:numFmt w:val="lowerLetter"/>
      <w:lvlText w:val="%8."/>
      <w:lvlJc w:val="left"/>
      <w:pPr>
        <w:ind w:left="5760" w:hanging="360"/>
      </w:pPr>
    </w:lvl>
    <w:lvl w:ilvl="8" w:tplc="733A0D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65CB"/>
    <w:multiLevelType w:val="hybridMultilevel"/>
    <w:tmpl w:val="5E24F2F6"/>
    <w:lvl w:ilvl="0" w:tplc="8D8011CE">
      <w:start w:val="1"/>
      <w:numFmt w:val="upperLetter"/>
      <w:lvlText w:val="%1."/>
      <w:lvlJc w:val="left"/>
      <w:pPr>
        <w:ind w:left="42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50AEF"/>
    <w:multiLevelType w:val="hybridMultilevel"/>
    <w:tmpl w:val="4520372C"/>
    <w:lvl w:ilvl="0" w:tplc="0FCC7EA4">
      <w:start w:val="1"/>
      <w:numFmt w:val="decimal"/>
      <w:lvlText w:val="%1."/>
      <w:lvlJc w:val="left"/>
      <w:pPr>
        <w:ind w:left="720" w:hanging="360"/>
      </w:pPr>
    </w:lvl>
    <w:lvl w:ilvl="1" w:tplc="D1D45624">
      <w:start w:val="2"/>
      <w:numFmt w:val="decimal"/>
      <w:lvlText w:val="%2)"/>
      <w:lvlJc w:val="left"/>
      <w:pPr>
        <w:ind w:left="1440" w:hanging="360"/>
      </w:pPr>
    </w:lvl>
    <w:lvl w:ilvl="2" w:tplc="09EE4804">
      <w:start w:val="1"/>
      <w:numFmt w:val="lowerRoman"/>
      <w:lvlText w:val="%3."/>
      <w:lvlJc w:val="right"/>
      <w:pPr>
        <w:ind w:left="2160" w:hanging="180"/>
      </w:pPr>
    </w:lvl>
    <w:lvl w:ilvl="3" w:tplc="3AD6738A">
      <w:start w:val="1"/>
      <w:numFmt w:val="decimal"/>
      <w:lvlText w:val="%4."/>
      <w:lvlJc w:val="left"/>
      <w:pPr>
        <w:ind w:left="2880" w:hanging="360"/>
      </w:pPr>
    </w:lvl>
    <w:lvl w:ilvl="4" w:tplc="E5C66922">
      <w:start w:val="1"/>
      <w:numFmt w:val="lowerLetter"/>
      <w:lvlText w:val="%5."/>
      <w:lvlJc w:val="left"/>
      <w:pPr>
        <w:ind w:left="3600" w:hanging="360"/>
      </w:pPr>
    </w:lvl>
    <w:lvl w:ilvl="5" w:tplc="9D1CB2F6">
      <w:start w:val="1"/>
      <w:numFmt w:val="lowerRoman"/>
      <w:lvlText w:val="%6."/>
      <w:lvlJc w:val="right"/>
      <w:pPr>
        <w:ind w:left="4320" w:hanging="180"/>
      </w:pPr>
    </w:lvl>
    <w:lvl w:ilvl="6" w:tplc="3A5E9884">
      <w:start w:val="1"/>
      <w:numFmt w:val="decimal"/>
      <w:lvlText w:val="%7."/>
      <w:lvlJc w:val="left"/>
      <w:pPr>
        <w:ind w:left="5040" w:hanging="360"/>
      </w:pPr>
    </w:lvl>
    <w:lvl w:ilvl="7" w:tplc="87C06124">
      <w:start w:val="1"/>
      <w:numFmt w:val="lowerLetter"/>
      <w:lvlText w:val="%8."/>
      <w:lvlJc w:val="left"/>
      <w:pPr>
        <w:ind w:left="5760" w:hanging="360"/>
      </w:pPr>
    </w:lvl>
    <w:lvl w:ilvl="8" w:tplc="194A842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B6AFE"/>
    <w:multiLevelType w:val="hybridMultilevel"/>
    <w:tmpl w:val="B694F1B8"/>
    <w:lvl w:ilvl="0" w:tplc="EA685028">
      <w:start w:val="1"/>
      <w:numFmt w:val="decimal"/>
      <w:lvlText w:val="%1."/>
      <w:lvlJc w:val="left"/>
      <w:pPr>
        <w:ind w:left="720" w:hanging="360"/>
      </w:pPr>
    </w:lvl>
    <w:lvl w:ilvl="1" w:tplc="7BC6FC7C">
      <w:start w:val="1"/>
      <w:numFmt w:val="lowerLetter"/>
      <w:lvlText w:val="%2."/>
      <w:lvlJc w:val="left"/>
      <w:pPr>
        <w:ind w:left="1440" w:hanging="360"/>
      </w:pPr>
    </w:lvl>
    <w:lvl w:ilvl="2" w:tplc="D3785390">
      <w:start w:val="1"/>
      <w:numFmt w:val="lowerRoman"/>
      <w:lvlText w:val="%3."/>
      <w:lvlJc w:val="right"/>
      <w:pPr>
        <w:ind w:left="2160" w:hanging="180"/>
      </w:pPr>
    </w:lvl>
    <w:lvl w:ilvl="3" w:tplc="0B2CD14E">
      <w:start w:val="1"/>
      <w:numFmt w:val="decimal"/>
      <w:lvlText w:val="%4."/>
      <w:lvlJc w:val="left"/>
      <w:pPr>
        <w:ind w:left="2880" w:hanging="360"/>
      </w:pPr>
    </w:lvl>
    <w:lvl w:ilvl="4" w:tplc="361E94A0">
      <w:start w:val="1"/>
      <w:numFmt w:val="lowerLetter"/>
      <w:lvlText w:val="%5."/>
      <w:lvlJc w:val="left"/>
      <w:pPr>
        <w:ind w:left="3600" w:hanging="360"/>
      </w:pPr>
    </w:lvl>
    <w:lvl w:ilvl="5" w:tplc="516AA4BE">
      <w:start w:val="1"/>
      <w:numFmt w:val="lowerRoman"/>
      <w:lvlText w:val="%6."/>
      <w:lvlJc w:val="right"/>
      <w:pPr>
        <w:ind w:left="4320" w:hanging="180"/>
      </w:pPr>
    </w:lvl>
    <w:lvl w:ilvl="6" w:tplc="98B0FBD0">
      <w:start w:val="1"/>
      <w:numFmt w:val="decimal"/>
      <w:lvlText w:val="%7."/>
      <w:lvlJc w:val="left"/>
      <w:pPr>
        <w:ind w:left="5040" w:hanging="360"/>
      </w:pPr>
    </w:lvl>
    <w:lvl w:ilvl="7" w:tplc="E59C5556">
      <w:start w:val="1"/>
      <w:numFmt w:val="lowerLetter"/>
      <w:lvlText w:val="%8."/>
      <w:lvlJc w:val="left"/>
      <w:pPr>
        <w:ind w:left="5760" w:hanging="360"/>
      </w:pPr>
    </w:lvl>
    <w:lvl w:ilvl="8" w:tplc="4B5EEB8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26AB6"/>
    <w:multiLevelType w:val="hybridMultilevel"/>
    <w:tmpl w:val="133A1436"/>
    <w:lvl w:ilvl="0" w:tplc="C4D6C206">
      <w:start w:val="1"/>
      <w:numFmt w:val="decimal"/>
      <w:lvlText w:val="%1."/>
      <w:lvlJc w:val="left"/>
      <w:pPr>
        <w:ind w:left="720" w:hanging="360"/>
      </w:pPr>
    </w:lvl>
    <w:lvl w:ilvl="1" w:tplc="0730026C">
      <w:start w:val="1"/>
      <w:numFmt w:val="lowerLetter"/>
      <w:lvlText w:val="%2."/>
      <w:lvlJc w:val="left"/>
      <w:pPr>
        <w:ind w:left="1440" w:hanging="360"/>
      </w:pPr>
    </w:lvl>
    <w:lvl w:ilvl="2" w:tplc="493C16A2">
      <w:start w:val="1"/>
      <w:numFmt w:val="lowerRoman"/>
      <w:lvlText w:val="%3."/>
      <w:lvlJc w:val="right"/>
      <w:pPr>
        <w:ind w:left="2160" w:hanging="180"/>
      </w:pPr>
    </w:lvl>
    <w:lvl w:ilvl="3" w:tplc="83E0BBB2">
      <w:start w:val="1"/>
      <w:numFmt w:val="decimal"/>
      <w:lvlText w:val="%4."/>
      <w:lvlJc w:val="left"/>
      <w:pPr>
        <w:ind w:left="2880" w:hanging="360"/>
      </w:pPr>
    </w:lvl>
    <w:lvl w:ilvl="4" w:tplc="4DCA8C38">
      <w:start w:val="1"/>
      <w:numFmt w:val="lowerLetter"/>
      <w:lvlText w:val="%5."/>
      <w:lvlJc w:val="left"/>
      <w:pPr>
        <w:ind w:left="3600" w:hanging="360"/>
      </w:pPr>
    </w:lvl>
    <w:lvl w:ilvl="5" w:tplc="B226C74C">
      <w:start w:val="1"/>
      <w:numFmt w:val="lowerRoman"/>
      <w:lvlText w:val="%6."/>
      <w:lvlJc w:val="right"/>
      <w:pPr>
        <w:ind w:left="4320" w:hanging="180"/>
      </w:pPr>
    </w:lvl>
    <w:lvl w:ilvl="6" w:tplc="2FF0510E">
      <w:start w:val="1"/>
      <w:numFmt w:val="decimal"/>
      <w:lvlText w:val="%7."/>
      <w:lvlJc w:val="left"/>
      <w:pPr>
        <w:ind w:left="5040" w:hanging="360"/>
      </w:pPr>
    </w:lvl>
    <w:lvl w:ilvl="7" w:tplc="090A1946">
      <w:start w:val="1"/>
      <w:numFmt w:val="lowerLetter"/>
      <w:lvlText w:val="%8."/>
      <w:lvlJc w:val="left"/>
      <w:pPr>
        <w:ind w:left="5760" w:hanging="360"/>
      </w:pPr>
    </w:lvl>
    <w:lvl w:ilvl="8" w:tplc="E9E461B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B6DCD"/>
    <w:multiLevelType w:val="hybridMultilevel"/>
    <w:tmpl w:val="1AD23D7C"/>
    <w:lvl w:ilvl="0" w:tplc="8C562A5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AC0081"/>
    <w:multiLevelType w:val="hybridMultilevel"/>
    <w:tmpl w:val="E4C60A36"/>
    <w:lvl w:ilvl="0" w:tplc="0F7E9BA4">
      <w:start w:val="1"/>
      <w:numFmt w:val="decimal"/>
      <w:lvlText w:val="%1)"/>
      <w:lvlJc w:val="left"/>
      <w:pPr>
        <w:ind w:left="644" w:hanging="360"/>
      </w:pPr>
      <w:rPr>
        <w:b w:val="0"/>
        <w:strike w:val="0"/>
      </w:rPr>
    </w:lvl>
    <w:lvl w:ilvl="1" w:tplc="8138A952">
      <w:start w:val="1"/>
      <w:numFmt w:val="lowerLetter"/>
      <w:lvlText w:val="%2."/>
      <w:lvlJc w:val="left"/>
      <w:pPr>
        <w:ind w:left="1724" w:hanging="360"/>
      </w:pPr>
    </w:lvl>
    <w:lvl w:ilvl="2" w:tplc="53F0798C">
      <w:start w:val="1"/>
      <w:numFmt w:val="lowerRoman"/>
      <w:lvlText w:val="%3."/>
      <w:lvlJc w:val="right"/>
      <w:pPr>
        <w:ind w:left="2444" w:hanging="180"/>
      </w:pPr>
    </w:lvl>
    <w:lvl w:ilvl="3" w:tplc="5DC00E96">
      <w:start w:val="1"/>
      <w:numFmt w:val="decimal"/>
      <w:lvlText w:val="%4."/>
      <w:lvlJc w:val="left"/>
      <w:pPr>
        <w:ind w:left="3164" w:hanging="360"/>
      </w:pPr>
    </w:lvl>
    <w:lvl w:ilvl="4" w:tplc="F6466F3C">
      <w:start w:val="1"/>
      <w:numFmt w:val="lowerLetter"/>
      <w:lvlText w:val="%5."/>
      <w:lvlJc w:val="left"/>
      <w:pPr>
        <w:ind w:left="3884" w:hanging="360"/>
      </w:pPr>
    </w:lvl>
    <w:lvl w:ilvl="5" w:tplc="ADAC4ACA">
      <w:start w:val="1"/>
      <w:numFmt w:val="lowerRoman"/>
      <w:lvlText w:val="%6."/>
      <w:lvlJc w:val="right"/>
      <w:pPr>
        <w:ind w:left="4604" w:hanging="180"/>
      </w:pPr>
    </w:lvl>
    <w:lvl w:ilvl="6" w:tplc="7938C79C">
      <w:start w:val="1"/>
      <w:numFmt w:val="decimal"/>
      <w:lvlText w:val="%7."/>
      <w:lvlJc w:val="left"/>
      <w:pPr>
        <w:ind w:left="5324" w:hanging="360"/>
      </w:pPr>
    </w:lvl>
    <w:lvl w:ilvl="7" w:tplc="46BAD32E">
      <w:start w:val="1"/>
      <w:numFmt w:val="lowerLetter"/>
      <w:lvlText w:val="%8."/>
      <w:lvlJc w:val="left"/>
      <w:pPr>
        <w:ind w:left="6044" w:hanging="360"/>
      </w:pPr>
    </w:lvl>
    <w:lvl w:ilvl="8" w:tplc="35DCC900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F60192"/>
    <w:multiLevelType w:val="hybridMultilevel"/>
    <w:tmpl w:val="CA9C5F22"/>
    <w:lvl w:ilvl="0" w:tplc="443870B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60601B"/>
    <w:multiLevelType w:val="hybridMultilevel"/>
    <w:tmpl w:val="64B886FC"/>
    <w:lvl w:ilvl="0" w:tplc="EE1C5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74FCD0">
      <w:start w:val="1"/>
      <w:numFmt w:val="lowerLetter"/>
      <w:lvlText w:val="%2."/>
      <w:lvlJc w:val="left"/>
      <w:pPr>
        <w:ind w:left="1440" w:hanging="360"/>
      </w:pPr>
    </w:lvl>
    <w:lvl w:ilvl="2" w:tplc="59BE54E8">
      <w:start w:val="1"/>
      <w:numFmt w:val="lowerRoman"/>
      <w:lvlText w:val="%3."/>
      <w:lvlJc w:val="right"/>
      <w:pPr>
        <w:ind w:left="2160" w:hanging="180"/>
      </w:pPr>
    </w:lvl>
    <w:lvl w:ilvl="3" w:tplc="C1A2FE52">
      <w:start w:val="1"/>
      <w:numFmt w:val="decimal"/>
      <w:lvlText w:val="%4."/>
      <w:lvlJc w:val="left"/>
      <w:pPr>
        <w:ind w:left="2880" w:hanging="360"/>
      </w:pPr>
    </w:lvl>
    <w:lvl w:ilvl="4" w:tplc="419437FE">
      <w:start w:val="1"/>
      <w:numFmt w:val="lowerLetter"/>
      <w:lvlText w:val="%5."/>
      <w:lvlJc w:val="left"/>
      <w:pPr>
        <w:ind w:left="3600" w:hanging="360"/>
      </w:pPr>
    </w:lvl>
    <w:lvl w:ilvl="5" w:tplc="7DF81FA2">
      <w:start w:val="1"/>
      <w:numFmt w:val="lowerRoman"/>
      <w:lvlText w:val="%6."/>
      <w:lvlJc w:val="right"/>
      <w:pPr>
        <w:ind w:left="4320" w:hanging="180"/>
      </w:pPr>
    </w:lvl>
    <w:lvl w:ilvl="6" w:tplc="0AA6F37E">
      <w:start w:val="1"/>
      <w:numFmt w:val="decimal"/>
      <w:lvlText w:val="%7."/>
      <w:lvlJc w:val="left"/>
      <w:pPr>
        <w:ind w:left="5040" w:hanging="360"/>
      </w:pPr>
    </w:lvl>
    <w:lvl w:ilvl="7" w:tplc="F1F61B54">
      <w:start w:val="1"/>
      <w:numFmt w:val="lowerLetter"/>
      <w:lvlText w:val="%8."/>
      <w:lvlJc w:val="left"/>
      <w:pPr>
        <w:ind w:left="5760" w:hanging="360"/>
      </w:pPr>
    </w:lvl>
    <w:lvl w:ilvl="8" w:tplc="A7F4B1A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B464D"/>
    <w:multiLevelType w:val="hybridMultilevel"/>
    <w:tmpl w:val="08201236"/>
    <w:lvl w:ilvl="0" w:tplc="05D2BB0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2613599"/>
    <w:multiLevelType w:val="hybridMultilevel"/>
    <w:tmpl w:val="C6227822"/>
    <w:lvl w:ilvl="0" w:tplc="4FE0D9A6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3AE19CD"/>
    <w:multiLevelType w:val="hybridMultilevel"/>
    <w:tmpl w:val="2A044D26"/>
    <w:lvl w:ilvl="0" w:tplc="11D2EE32">
      <w:start w:val="1"/>
      <w:numFmt w:val="decimal"/>
      <w:lvlText w:val="%1."/>
      <w:lvlJc w:val="left"/>
      <w:pPr>
        <w:ind w:left="720" w:hanging="360"/>
      </w:pPr>
    </w:lvl>
    <w:lvl w:ilvl="1" w:tplc="9C0AAB34">
      <w:start w:val="1"/>
      <w:numFmt w:val="decimal"/>
      <w:lvlText w:val="%2)"/>
      <w:lvlJc w:val="left"/>
      <w:pPr>
        <w:ind w:left="1440" w:hanging="360"/>
      </w:pPr>
    </w:lvl>
    <w:lvl w:ilvl="2" w:tplc="5CA48184">
      <w:start w:val="1"/>
      <w:numFmt w:val="lowerRoman"/>
      <w:lvlText w:val="%3."/>
      <w:lvlJc w:val="right"/>
      <w:pPr>
        <w:ind w:left="2160" w:hanging="180"/>
      </w:pPr>
    </w:lvl>
    <w:lvl w:ilvl="3" w:tplc="0B66CDD6">
      <w:start w:val="1"/>
      <w:numFmt w:val="decimal"/>
      <w:lvlText w:val="%4."/>
      <w:lvlJc w:val="left"/>
      <w:pPr>
        <w:ind w:left="2880" w:hanging="360"/>
      </w:pPr>
    </w:lvl>
    <w:lvl w:ilvl="4" w:tplc="460CA566">
      <w:start w:val="1"/>
      <w:numFmt w:val="lowerLetter"/>
      <w:lvlText w:val="%5."/>
      <w:lvlJc w:val="left"/>
      <w:pPr>
        <w:ind w:left="3600" w:hanging="360"/>
      </w:pPr>
    </w:lvl>
    <w:lvl w:ilvl="5" w:tplc="D5F0EC90">
      <w:start w:val="1"/>
      <w:numFmt w:val="lowerRoman"/>
      <w:lvlText w:val="%6."/>
      <w:lvlJc w:val="right"/>
      <w:pPr>
        <w:ind w:left="4320" w:hanging="180"/>
      </w:pPr>
    </w:lvl>
    <w:lvl w:ilvl="6" w:tplc="DACE9D90">
      <w:start w:val="1"/>
      <w:numFmt w:val="decimal"/>
      <w:lvlText w:val="%7."/>
      <w:lvlJc w:val="left"/>
      <w:pPr>
        <w:ind w:left="5040" w:hanging="360"/>
      </w:pPr>
    </w:lvl>
    <w:lvl w:ilvl="7" w:tplc="1D4C2B8A">
      <w:start w:val="1"/>
      <w:numFmt w:val="lowerLetter"/>
      <w:lvlText w:val="%8."/>
      <w:lvlJc w:val="left"/>
      <w:pPr>
        <w:ind w:left="5760" w:hanging="360"/>
      </w:pPr>
    </w:lvl>
    <w:lvl w:ilvl="8" w:tplc="90C6833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E16E9"/>
    <w:multiLevelType w:val="hybridMultilevel"/>
    <w:tmpl w:val="5E5C7EAA"/>
    <w:lvl w:ilvl="0" w:tplc="A22C124A">
      <w:start w:val="1"/>
      <w:numFmt w:val="decimal"/>
      <w:lvlText w:val="%1."/>
      <w:lvlJc w:val="left"/>
      <w:pPr>
        <w:ind w:left="720" w:hanging="360"/>
      </w:pPr>
    </w:lvl>
    <w:lvl w:ilvl="1" w:tplc="1A5CC172">
      <w:start w:val="1"/>
      <w:numFmt w:val="lowerLetter"/>
      <w:lvlText w:val="%2."/>
      <w:lvlJc w:val="left"/>
      <w:pPr>
        <w:ind w:left="1440" w:hanging="360"/>
      </w:pPr>
    </w:lvl>
    <w:lvl w:ilvl="2" w:tplc="BB76559A">
      <w:start w:val="1"/>
      <w:numFmt w:val="lowerRoman"/>
      <w:lvlText w:val="%3."/>
      <w:lvlJc w:val="right"/>
      <w:pPr>
        <w:ind w:left="2160" w:hanging="180"/>
      </w:pPr>
    </w:lvl>
    <w:lvl w:ilvl="3" w:tplc="68C22FFA">
      <w:start w:val="1"/>
      <w:numFmt w:val="decimal"/>
      <w:lvlText w:val="%4."/>
      <w:lvlJc w:val="left"/>
      <w:pPr>
        <w:ind w:left="2880" w:hanging="360"/>
      </w:pPr>
    </w:lvl>
    <w:lvl w:ilvl="4" w:tplc="0E228738">
      <w:start w:val="1"/>
      <w:numFmt w:val="lowerLetter"/>
      <w:lvlText w:val="%5."/>
      <w:lvlJc w:val="left"/>
      <w:pPr>
        <w:ind w:left="3600" w:hanging="360"/>
      </w:pPr>
    </w:lvl>
    <w:lvl w:ilvl="5" w:tplc="10340366">
      <w:start w:val="1"/>
      <w:numFmt w:val="lowerRoman"/>
      <w:lvlText w:val="%6."/>
      <w:lvlJc w:val="right"/>
      <w:pPr>
        <w:ind w:left="4320" w:hanging="180"/>
      </w:pPr>
    </w:lvl>
    <w:lvl w:ilvl="6" w:tplc="E316768E">
      <w:start w:val="1"/>
      <w:numFmt w:val="decimal"/>
      <w:lvlText w:val="%7."/>
      <w:lvlJc w:val="left"/>
      <w:pPr>
        <w:ind w:left="5040" w:hanging="360"/>
      </w:pPr>
    </w:lvl>
    <w:lvl w:ilvl="7" w:tplc="A1DAAA4E">
      <w:start w:val="1"/>
      <w:numFmt w:val="lowerLetter"/>
      <w:lvlText w:val="%8."/>
      <w:lvlJc w:val="left"/>
      <w:pPr>
        <w:ind w:left="5760" w:hanging="360"/>
      </w:pPr>
    </w:lvl>
    <w:lvl w:ilvl="8" w:tplc="F44E031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449ED"/>
    <w:multiLevelType w:val="hybridMultilevel"/>
    <w:tmpl w:val="A498F598"/>
    <w:lvl w:ilvl="0" w:tplc="FD88D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4F46"/>
    <w:rsid w:val="000152E8"/>
    <w:rsid w:val="00020120"/>
    <w:rsid w:val="0004062F"/>
    <w:rsid w:val="00051694"/>
    <w:rsid w:val="000542FD"/>
    <w:rsid w:val="00070ED1"/>
    <w:rsid w:val="00075B0B"/>
    <w:rsid w:val="000776F8"/>
    <w:rsid w:val="00084868"/>
    <w:rsid w:val="0008722B"/>
    <w:rsid w:val="00096ED8"/>
    <w:rsid w:val="000A3542"/>
    <w:rsid w:val="000B625B"/>
    <w:rsid w:val="000C7FF4"/>
    <w:rsid w:val="000D1DEB"/>
    <w:rsid w:val="000D4CC6"/>
    <w:rsid w:val="000E3B65"/>
    <w:rsid w:val="000F0644"/>
    <w:rsid w:val="000F0E3D"/>
    <w:rsid w:val="001260B8"/>
    <w:rsid w:val="00126A03"/>
    <w:rsid w:val="0017111D"/>
    <w:rsid w:val="00175F3D"/>
    <w:rsid w:val="001C4039"/>
    <w:rsid w:val="001E69E8"/>
    <w:rsid w:val="00220CA8"/>
    <w:rsid w:val="00235325"/>
    <w:rsid w:val="00244BA4"/>
    <w:rsid w:val="002452A8"/>
    <w:rsid w:val="00245E96"/>
    <w:rsid w:val="00265D13"/>
    <w:rsid w:val="00266D4C"/>
    <w:rsid w:val="00277BC2"/>
    <w:rsid w:val="002976A5"/>
    <w:rsid w:val="002A7D8B"/>
    <w:rsid w:val="002E3CE2"/>
    <w:rsid w:val="002F6AF1"/>
    <w:rsid w:val="0032063A"/>
    <w:rsid w:val="00336A6D"/>
    <w:rsid w:val="00347A44"/>
    <w:rsid w:val="0038185F"/>
    <w:rsid w:val="00383200"/>
    <w:rsid w:val="003A278F"/>
    <w:rsid w:val="003A545E"/>
    <w:rsid w:val="003D1D40"/>
    <w:rsid w:val="00410589"/>
    <w:rsid w:val="00414F24"/>
    <w:rsid w:val="00420FC7"/>
    <w:rsid w:val="0042691D"/>
    <w:rsid w:val="00443C67"/>
    <w:rsid w:val="0044584C"/>
    <w:rsid w:val="0046676E"/>
    <w:rsid w:val="004722FD"/>
    <w:rsid w:val="0048174A"/>
    <w:rsid w:val="004A6F40"/>
    <w:rsid w:val="00505B6C"/>
    <w:rsid w:val="00515462"/>
    <w:rsid w:val="00530C09"/>
    <w:rsid w:val="0060031C"/>
    <w:rsid w:val="00626E7B"/>
    <w:rsid w:val="00636D21"/>
    <w:rsid w:val="00646C7F"/>
    <w:rsid w:val="006519AF"/>
    <w:rsid w:val="006531EB"/>
    <w:rsid w:val="00666167"/>
    <w:rsid w:val="00666344"/>
    <w:rsid w:val="006964AE"/>
    <w:rsid w:val="006A4805"/>
    <w:rsid w:val="006C1B2F"/>
    <w:rsid w:val="006C455B"/>
    <w:rsid w:val="006D41B9"/>
    <w:rsid w:val="00710789"/>
    <w:rsid w:val="0071183E"/>
    <w:rsid w:val="00713B3E"/>
    <w:rsid w:val="00726557"/>
    <w:rsid w:val="00734BD8"/>
    <w:rsid w:val="00745396"/>
    <w:rsid w:val="00754660"/>
    <w:rsid w:val="00760CC0"/>
    <w:rsid w:val="00761F30"/>
    <w:rsid w:val="007738FF"/>
    <w:rsid w:val="00786B3A"/>
    <w:rsid w:val="00790EF2"/>
    <w:rsid w:val="00792E90"/>
    <w:rsid w:val="007A236F"/>
    <w:rsid w:val="007A2DC3"/>
    <w:rsid w:val="007B141C"/>
    <w:rsid w:val="007B318B"/>
    <w:rsid w:val="007C69E9"/>
    <w:rsid w:val="007F6BF5"/>
    <w:rsid w:val="008037AE"/>
    <w:rsid w:val="00834624"/>
    <w:rsid w:val="00836996"/>
    <w:rsid w:val="00841CD1"/>
    <w:rsid w:val="00861156"/>
    <w:rsid w:val="00874687"/>
    <w:rsid w:val="00877DC4"/>
    <w:rsid w:val="00881687"/>
    <w:rsid w:val="008961D8"/>
    <w:rsid w:val="008C3E55"/>
    <w:rsid w:val="008D1F66"/>
    <w:rsid w:val="008D4F13"/>
    <w:rsid w:val="00947A39"/>
    <w:rsid w:val="00966646"/>
    <w:rsid w:val="00976B93"/>
    <w:rsid w:val="009772B9"/>
    <w:rsid w:val="00991FA4"/>
    <w:rsid w:val="00992AF4"/>
    <w:rsid w:val="009952B8"/>
    <w:rsid w:val="00996268"/>
    <w:rsid w:val="009A1681"/>
    <w:rsid w:val="009B62D0"/>
    <w:rsid w:val="009F74BF"/>
    <w:rsid w:val="00A00ED8"/>
    <w:rsid w:val="00A302DD"/>
    <w:rsid w:val="00A57CFC"/>
    <w:rsid w:val="00A71697"/>
    <w:rsid w:val="00A747CD"/>
    <w:rsid w:val="00A74C5E"/>
    <w:rsid w:val="00AE0C1C"/>
    <w:rsid w:val="00AE2803"/>
    <w:rsid w:val="00AF4214"/>
    <w:rsid w:val="00AF54DD"/>
    <w:rsid w:val="00AF6703"/>
    <w:rsid w:val="00B05302"/>
    <w:rsid w:val="00B059FA"/>
    <w:rsid w:val="00B20124"/>
    <w:rsid w:val="00B45E13"/>
    <w:rsid w:val="00B46FC7"/>
    <w:rsid w:val="00B52EF8"/>
    <w:rsid w:val="00B66260"/>
    <w:rsid w:val="00B758C7"/>
    <w:rsid w:val="00BA2FE9"/>
    <w:rsid w:val="00BB500C"/>
    <w:rsid w:val="00BB6244"/>
    <w:rsid w:val="00C34B24"/>
    <w:rsid w:val="00C80CB2"/>
    <w:rsid w:val="00C827B0"/>
    <w:rsid w:val="00C9061A"/>
    <w:rsid w:val="00CC0CAA"/>
    <w:rsid w:val="00CF4A8F"/>
    <w:rsid w:val="00D04A9E"/>
    <w:rsid w:val="00D330DC"/>
    <w:rsid w:val="00D33DD4"/>
    <w:rsid w:val="00D46D50"/>
    <w:rsid w:val="00D71896"/>
    <w:rsid w:val="00D77B61"/>
    <w:rsid w:val="00D80C80"/>
    <w:rsid w:val="00D827AE"/>
    <w:rsid w:val="00DA391B"/>
    <w:rsid w:val="00DB1052"/>
    <w:rsid w:val="00DC4D19"/>
    <w:rsid w:val="00DE581D"/>
    <w:rsid w:val="00E02953"/>
    <w:rsid w:val="00E043CC"/>
    <w:rsid w:val="00E125C1"/>
    <w:rsid w:val="00E166C8"/>
    <w:rsid w:val="00E41430"/>
    <w:rsid w:val="00E529BD"/>
    <w:rsid w:val="00E659C8"/>
    <w:rsid w:val="00E703F6"/>
    <w:rsid w:val="00E82057"/>
    <w:rsid w:val="00E90813"/>
    <w:rsid w:val="00EB6766"/>
    <w:rsid w:val="00ED49E2"/>
    <w:rsid w:val="00EE7B80"/>
    <w:rsid w:val="00EF400F"/>
    <w:rsid w:val="00EF750A"/>
    <w:rsid w:val="00F07538"/>
    <w:rsid w:val="00F26856"/>
    <w:rsid w:val="00F31BC2"/>
    <w:rsid w:val="00F322D1"/>
    <w:rsid w:val="00F32DC8"/>
    <w:rsid w:val="00F32FC8"/>
    <w:rsid w:val="00F3549C"/>
    <w:rsid w:val="00F45211"/>
    <w:rsid w:val="00F5172B"/>
    <w:rsid w:val="00F72492"/>
    <w:rsid w:val="00F842BF"/>
    <w:rsid w:val="00F96E58"/>
    <w:rsid w:val="00FC3ADB"/>
    <w:rsid w:val="00FD61CB"/>
    <w:rsid w:val="00FF4714"/>
    <w:rsid w:val="00FF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68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66260"/>
    <w:pPr>
      <w:keepNext/>
      <w:keepLines/>
      <w:spacing w:before="480" w:line="240" w:lineRule="auto"/>
      <w:jc w:val="center"/>
      <w:outlineLvl w:val="0"/>
    </w:pPr>
    <w:rPr>
      <w:rFonts w:ascii="Arial" w:eastAsia="Arial" w:hAnsi="Arial" w:cs="Arial"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46"/>
  </w:style>
  <w:style w:type="paragraph" w:styleId="Stopka">
    <w:name w:val="footer"/>
    <w:basedOn w:val="Normalny"/>
    <w:link w:val="Stopka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46"/>
  </w:style>
  <w:style w:type="paragraph" w:styleId="Akapitzlist">
    <w:name w:val="List Paragraph"/>
    <w:basedOn w:val="Normalny"/>
    <w:qFormat/>
    <w:rsid w:val="009A1681"/>
    <w:pPr>
      <w:ind w:left="720"/>
      <w:contextualSpacing/>
    </w:pPr>
  </w:style>
  <w:style w:type="table" w:styleId="Tabela-Siatka">
    <w:name w:val="Table Grid"/>
    <w:basedOn w:val="Standardowy"/>
    <w:uiPriority w:val="59"/>
    <w:rsid w:val="009A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20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0C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5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0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66260"/>
    <w:rPr>
      <w:rFonts w:ascii="Arial" w:eastAsia="Arial" w:hAnsi="Arial" w:cs="Arial"/>
      <w:sz w:val="40"/>
      <w:szCs w:val="40"/>
      <w:lang w:eastAsia="pl-PL"/>
    </w:rPr>
  </w:style>
  <w:style w:type="paragraph" w:styleId="Poprawka">
    <w:name w:val="Revision"/>
    <w:hidden/>
    <w:uiPriority w:val="99"/>
    <w:semiHidden/>
    <w:rsid w:val="000406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rcjalizacja.viacarpatia@pb.edu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tt@pollub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C8D59-AB65-40F6-B075-27E65E7D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1860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Kondzior</dc:creator>
  <cp:lastModifiedBy>MSwiercz</cp:lastModifiedBy>
  <cp:revision>3</cp:revision>
  <cp:lastPrinted>2024-03-05T11:09:00Z</cp:lastPrinted>
  <dcterms:created xsi:type="dcterms:W3CDTF">2024-04-02T05:54:00Z</dcterms:created>
  <dcterms:modified xsi:type="dcterms:W3CDTF">2024-04-02T08:34:00Z</dcterms:modified>
</cp:coreProperties>
</file>