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30" w:rsidRDefault="00FF27DE">
      <w:pPr>
        <w:spacing w:after="292"/>
      </w:pPr>
      <w:bookmarkStart w:id="0" w:name="_GoBack"/>
      <w:bookmarkEnd w:id="0"/>
      <w:r>
        <w:t xml:space="preserve"> </w:t>
      </w:r>
    </w:p>
    <w:p w:rsidR="00695F30" w:rsidRDefault="00FF27DE">
      <w:pPr>
        <w:spacing w:after="0"/>
      </w:pPr>
      <w:r>
        <w:rPr>
          <w:rFonts w:ascii="Verdana" w:eastAsia="Verdana" w:hAnsi="Verdana" w:cs="Verdana"/>
          <w:b/>
          <w:color w:val="002060"/>
          <w:sz w:val="28"/>
        </w:rPr>
        <w:t>Annex: End notes</w:t>
      </w:r>
      <w:r>
        <w:rPr>
          <w:rFonts w:ascii="Verdana" w:eastAsia="Verdana" w:hAnsi="Verdana" w:cs="Verdana"/>
          <w:sz w:val="20"/>
        </w:rPr>
        <w:t xml:space="preserve"> </w:t>
      </w:r>
    </w:p>
    <w:p w:rsidR="00695F30" w:rsidRDefault="00FF27DE">
      <w:pPr>
        <w:spacing w:after="304"/>
        <w:ind w:left="-122"/>
      </w:pPr>
      <w:r>
        <w:rPr>
          <w:noProof/>
        </w:rPr>
        <mc:AlternateContent>
          <mc:Choice Requires="wpg">
            <w:drawing>
              <wp:inline distT="0" distB="0" distL="0" distR="0">
                <wp:extent cx="2149094" cy="6096"/>
                <wp:effectExtent l="0" t="0" r="0" b="0"/>
                <wp:docPr id="1733" name="Group 1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9094" cy="6096"/>
                          <a:chOff x="0" y="0"/>
                          <a:chExt cx="2149094" cy="6096"/>
                        </a:xfrm>
                      </wpg:grpSpPr>
                      <wps:wsp>
                        <wps:cNvPr id="2015" name="Shape 2015"/>
                        <wps:cNvSpPr/>
                        <wps:spPr>
                          <a:xfrm>
                            <a:off x="0" y="0"/>
                            <a:ext cx="21490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094" h="9144">
                                <a:moveTo>
                                  <a:pt x="0" y="0"/>
                                </a:moveTo>
                                <a:lnTo>
                                  <a:pt x="2149094" y="0"/>
                                </a:lnTo>
                                <a:lnTo>
                                  <a:pt x="21490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3" style="width:169.22pt;height:0.47998pt;mso-position-horizontal-relative:char;mso-position-vertical-relative:line" coordsize="21490,60">
                <v:shape id="Shape 2016" style="position:absolute;width:21490;height:91;left:0;top:0;" coordsize="2149094,9144" path="m0,0l2149094,0l214909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95F30" w:rsidRDefault="00FF27DE">
      <w:pPr>
        <w:numPr>
          <w:ilvl w:val="0"/>
          <w:numId w:val="1"/>
        </w:numPr>
        <w:spacing w:after="165" w:line="271" w:lineRule="auto"/>
        <w:ind w:hanging="300"/>
        <w:jc w:val="both"/>
      </w:pPr>
      <w:r>
        <w:rPr>
          <w:rFonts w:ascii="Verdana" w:eastAsia="Verdana" w:hAnsi="Verdana" w:cs="Verdana"/>
          <w:b/>
          <w:sz w:val="18"/>
        </w:rPr>
        <w:t>Nationality:</w:t>
      </w:r>
      <w:r>
        <w:rPr>
          <w:rFonts w:ascii="Verdana" w:eastAsia="Verdana" w:hAnsi="Verdana" w:cs="Verdana"/>
          <w:sz w:val="18"/>
        </w:rPr>
        <w:t xml:space="preserve"> country to which the person belongs administratively and that issues the ID card and/or passport   </w:t>
      </w:r>
      <w:r>
        <w:rPr>
          <w:rFonts w:ascii="Verdana" w:eastAsia="Verdana" w:hAnsi="Verdana" w:cs="Verdana"/>
          <w:i/>
          <w:sz w:val="18"/>
        </w:rPr>
        <w:t xml:space="preserve">(for example: Polish, Spanish, Turkish, Cape Verdean) </w:t>
      </w:r>
    </w:p>
    <w:p w:rsidR="00695F30" w:rsidRDefault="00FF27DE">
      <w:pPr>
        <w:numPr>
          <w:ilvl w:val="0"/>
          <w:numId w:val="1"/>
        </w:numPr>
        <w:spacing w:after="168" w:line="271" w:lineRule="auto"/>
        <w:ind w:hanging="300"/>
        <w:jc w:val="both"/>
      </w:pPr>
      <w:r>
        <w:rPr>
          <w:rFonts w:ascii="Verdana" w:eastAsia="Verdana" w:hAnsi="Verdana" w:cs="Verdana"/>
          <w:b/>
          <w:sz w:val="18"/>
        </w:rPr>
        <w:t>Study cycle:</w:t>
      </w:r>
      <w:r>
        <w:rPr>
          <w:rFonts w:ascii="Verdana" w:eastAsia="Verdana" w:hAnsi="Verdana" w:cs="Verdana"/>
          <w:sz w:val="18"/>
        </w:rPr>
        <w:t xml:space="preserve"> Choose one of the following </w:t>
      </w:r>
      <w:hyperlink r:id="rId5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EQF levels</w:t>
        </w:r>
      </w:hyperlink>
      <w:hyperlink r:id="rId6">
        <w:r>
          <w:rPr>
            <w:rFonts w:ascii="Verdana" w:eastAsia="Verdana" w:hAnsi="Verdana" w:cs="Verdana"/>
            <w:sz w:val="18"/>
          </w:rPr>
          <w:t>:</w:t>
        </w:r>
      </w:hyperlink>
      <w:r>
        <w:rPr>
          <w:rFonts w:ascii="Verdana" w:eastAsia="Verdana" w:hAnsi="Verdana" w:cs="Verdana"/>
          <w:sz w:val="18"/>
        </w:rPr>
        <w:t xml:space="preserve"> </w:t>
      </w:r>
    </w:p>
    <w:p w:rsidR="00695F30" w:rsidRDefault="00FF27DE">
      <w:pPr>
        <w:numPr>
          <w:ilvl w:val="1"/>
          <w:numId w:val="1"/>
        </w:numPr>
        <w:spacing w:after="0" w:line="268" w:lineRule="auto"/>
        <w:ind w:hanging="360"/>
        <w:jc w:val="both"/>
      </w:pPr>
      <w:r>
        <w:rPr>
          <w:rFonts w:ascii="Verdana" w:eastAsia="Verdana" w:hAnsi="Verdana" w:cs="Verdana"/>
          <w:b/>
          <w:sz w:val="18"/>
        </w:rPr>
        <w:t>EQF level 6</w:t>
      </w:r>
      <w:r>
        <w:rPr>
          <w:rFonts w:ascii="Verdana" w:eastAsia="Verdana" w:hAnsi="Verdana" w:cs="Verdana"/>
          <w:sz w:val="18"/>
        </w:rPr>
        <w:t xml:space="preserve">  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i/>
          <w:sz w:val="18"/>
        </w:rPr>
        <w:t>- bachelor or equivalent first cycle</w:t>
      </w:r>
      <w:r>
        <w:rPr>
          <w:rFonts w:ascii="Verdana" w:eastAsia="Verdana" w:hAnsi="Verdana" w:cs="Verdana"/>
          <w:sz w:val="18"/>
        </w:rPr>
        <w:t xml:space="preserve">  </w:t>
      </w:r>
    </w:p>
    <w:p w:rsidR="00695F30" w:rsidRDefault="00FF27DE">
      <w:pPr>
        <w:numPr>
          <w:ilvl w:val="1"/>
          <w:numId w:val="1"/>
        </w:numPr>
        <w:spacing w:after="126" w:line="268" w:lineRule="auto"/>
        <w:ind w:hanging="360"/>
        <w:jc w:val="both"/>
      </w:pPr>
      <w:r>
        <w:rPr>
          <w:rFonts w:ascii="Verdana" w:eastAsia="Verdana" w:hAnsi="Verdana" w:cs="Verdana"/>
          <w:b/>
          <w:sz w:val="18"/>
        </w:rPr>
        <w:t>EQF level 7</w:t>
      </w:r>
      <w:r>
        <w:rPr>
          <w:rFonts w:ascii="Verdana" w:eastAsia="Verdana" w:hAnsi="Verdana" w:cs="Verdana"/>
          <w:sz w:val="18"/>
        </w:rPr>
        <w:t xml:space="preserve">  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i/>
          <w:sz w:val="18"/>
        </w:rPr>
        <w:t xml:space="preserve">- master or </w:t>
      </w:r>
      <w:r>
        <w:rPr>
          <w:rFonts w:ascii="Verdana" w:eastAsia="Verdana" w:hAnsi="Verdana" w:cs="Verdana"/>
          <w:i/>
          <w:sz w:val="18"/>
        </w:rPr>
        <w:t>equivalent second cycle</w:t>
      </w:r>
      <w:r>
        <w:rPr>
          <w:rFonts w:ascii="Verdana" w:eastAsia="Verdana" w:hAnsi="Verdana" w:cs="Verdana"/>
          <w:sz w:val="18"/>
        </w:rPr>
        <w:t xml:space="preserve">  </w:t>
      </w:r>
    </w:p>
    <w:p w:rsidR="00695F30" w:rsidRDefault="00FF27DE">
      <w:pPr>
        <w:numPr>
          <w:ilvl w:val="0"/>
          <w:numId w:val="1"/>
        </w:numPr>
        <w:spacing w:after="99" w:line="271" w:lineRule="auto"/>
        <w:ind w:hanging="300"/>
        <w:jc w:val="both"/>
      </w:pPr>
      <w:r>
        <w:rPr>
          <w:rFonts w:ascii="Verdana" w:eastAsia="Verdana" w:hAnsi="Verdana" w:cs="Verdana"/>
          <w:sz w:val="18"/>
        </w:rPr>
        <w:t>T</w:t>
      </w:r>
      <w:r>
        <w:rPr>
          <w:rFonts w:ascii="Verdana" w:eastAsia="Verdana" w:hAnsi="Verdana" w:cs="Verdana"/>
          <w:color w:val="000080"/>
          <w:sz w:val="18"/>
        </w:rPr>
        <w:t>he</w:t>
      </w:r>
      <w:hyperlink r:id="rId7">
        <w:r>
          <w:rPr>
            <w:rFonts w:ascii="Verdana" w:eastAsia="Verdana" w:hAnsi="Verdana" w:cs="Verdana"/>
            <w:sz w:val="18"/>
          </w:rPr>
          <w:t xml:space="preserve"> </w:t>
        </w:r>
      </w:hyperlink>
      <w:hyperlink r:id="rId8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ISCED</w:t>
        </w:r>
      </w:hyperlink>
      <w:hyperlink r:id="rId9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-</w:t>
        </w:r>
      </w:hyperlink>
      <w:hyperlink r:id="rId10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F 2013 search tool</w:t>
        </w:r>
      </w:hyperlink>
      <w:hyperlink r:id="rId11">
        <w:r>
          <w:rPr>
            <w:rFonts w:ascii="Verdana" w:eastAsia="Verdana" w:hAnsi="Verdana" w:cs="Verdana"/>
            <w:sz w:val="18"/>
          </w:rPr>
          <w:t xml:space="preserve"> </w:t>
        </w:r>
      </w:hyperlink>
      <w:r>
        <w:rPr>
          <w:rFonts w:ascii="Verdana" w:eastAsia="Verdana" w:hAnsi="Verdana" w:cs="Verdana"/>
          <w:sz w:val="18"/>
        </w:rPr>
        <w:t xml:space="preserve">available at </w:t>
      </w:r>
      <w:hyperlink r:id="rId12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http://ec.europa.eu/education/tools/isced</w:t>
        </w:r>
      </w:hyperlink>
      <w:hyperlink r:id="rId13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-</w:t>
        </w:r>
      </w:hyperlink>
      <w:hyperlink r:id="rId14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f_en.htm</w:t>
        </w:r>
      </w:hyperlink>
      <w:hyperlink r:id="rId15">
        <w:r>
          <w:rPr>
            <w:rFonts w:ascii="Verdana" w:eastAsia="Verdana" w:hAnsi="Verdana" w:cs="Verdana"/>
            <w:sz w:val="18"/>
          </w:rPr>
          <w:t xml:space="preserve"> </w:t>
        </w:r>
      </w:hyperlink>
      <w:r>
        <w:rPr>
          <w:rFonts w:ascii="Verdana" w:eastAsia="Verdana" w:hAnsi="Verdana" w:cs="Verdana"/>
          <w:sz w:val="18"/>
        </w:rPr>
        <w:t xml:space="preserve">should be used to find the ISCED 2013 detailed field of education and training </w:t>
      </w:r>
      <w:r>
        <w:rPr>
          <w:rFonts w:ascii="Verdana" w:eastAsia="Verdana" w:hAnsi="Verdana" w:cs="Verdana"/>
          <w:b/>
          <w:sz w:val="18"/>
        </w:rPr>
        <w:t>that is closest</w:t>
      </w:r>
      <w:r>
        <w:rPr>
          <w:rFonts w:ascii="Verdana" w:eastAsia="Verdana" w:hAnsi="Verdana" w:cs="Verdana"/>
          <w:sz w:val="18"/>
        </w:rPr>
        <w:t xml:space="preserve"> to the subject of the degree to be awarded to the student by the sending institution.</w:t>
      </w:r>
      <w:r>
        <w:rPr>
          <w:rFonts w:ascii="Verdana" w:eastAsia="Verdana" w:hAnsi="Verdana" w:cs="Verdana"/>
          <w:sz w:val="20"/>
        </w:rPr>
        <w:t xml:space="preserve"> </w:t>
      </w:r>
    </w:p>
    <w:p w:rsidR="00695F30" w:rsidRDefault="00FF27DE">
      <w:pPr>
        <w:spacing w:after="126" w:line="268" w:lineRule="auto"/>
        <w:ind w:left="422" w:hanging="10"/>
        <w:jc w:val="both"/>
      </w:pPr>
      <w:r>
        <w:rPr>
          <w:rFonts w:ascii="Verdana" w:eastAsia="Verdana" w:hAnsi="Verdana" w:cs="Verdana"/>
          <w:i/>
          <w:sz w:val="18"/>
        </w:rPr>
        <w:t>Example 1: You study Electrical Engineering in your country. Accordin</w:t>
      </w:r>
      <w:r>
        <w:rPr>
          <w:rFonts w:ascii="Verdana" w:eastAsia="Verdana" w:hAnsi="Verdana" w:cs="Verdana"/>
          <w:i/>
          <w:sz w:val="18"/>
        </w:rPr>
        <w:t xml:space="preserve">g to search tool, the closest code to your course is </w:t>
      </w:r>
      <w:r>
        <w:rPr>
          <w:rFonts w:ascii="Verdana" w:eastAsia="Verdana" w:hAnsi="Verdana" w:cs="Verdana"/>
          <w:b/>
          <w:i/>
          <w:sz w:val="18"/>
        </w:rPr>
        <w:t>0713: Electricity and energy (06.2 – 522)</w:t>
      </w:r>
      <w:r>
        <w:rPr>
          <w:rFonts w:ascii="Verdana" w:eastAsia="Verdana" w:hAnsi="Verdana" w:cs="Verdana"/>
          <w:i/>
          <w:sz w:val="18"/>
        </w:rPr>
        <w:t xml:space="preserve">. So in your Learning Agreement for Studies you should write: </w:t>
      </w:r>
      <w:r>
        <w:rPr>
          <w:rFonts w:ascii="Verdana" w:eastAsia="Verdana" w:hAnsi="Verdana" w:cs="Verdana"/>
          <w:b/>
          <w:i/>
          <w:sz w:val="18"/>
        </w:rPr>
        <w:t>0713</w:t>
      </w:r>
      <w:r>
        <w:rPr>
          <w:rFonts w:ascii="Verdana" w:eastAsia="Verdana" w:hAnsi="Verdana" w:cs="Verdana"/>
          <w:i/>
          <w:sz w:val="18"/>
        </w:rPr>
        <w:t xml:space="preserve">. </w:t>
      </w:r>
    </w:p>
    <w:p w:rsidR="00695F30" w:rsidRDefault="00FF27DE">
      <w:pPr>
        <w:spacing w:after="170" w:line="268" w:lineRule="auto"/>
        <w:ind w:left="422" w:hanging="10"/>
        <w:jc w:val="both"/>
      </w:pPr>
      <w:r>
        <w:rPr>
          <w:rFonts w:ascii="Verdana" w:eastAsia="Verdana" w:hAnsi="Verdana" w:cs="Verdana"/>
          <w:i/>
          <w:sz w:val="18"/>
        </w:rPr>
        <w:t>Example 2: You study Environmental Engineering in your country. According to search tool, the</w:t>
      </w:r>
      <w:r>
        <w:rPr>
          <w:rFonts w:ascii="Verdana" w:eastAsia="Verdana" w:hAnsi="Verdana" w:cs="Verdana"/>
          <w:i/>
          <w:sz w:val="18"/>
        </w:rPr>
        <w:t xml:space="preserve"> closest code to your course is </w:t>
      </w:r>
      <w:r>
        <w:rPr>
          <w:rFonts w:ascii="Verdana" w:eastAsia="Verdana" w:hAnsi="Verdana" w:cs="Verdana"/>
          <w:b/>
          <w:i/>
          <w:sz w:val="18"/>
        </w:rPr>
        <w:t>0521: Environmental sciences (422)</w:t>
      </w:r>
      <w:r>
        <w:rPr>
          <w:rFonts w:ascii="Verdana" w:eastAsia="Verdana" w:hAnsi="Verdana" w:cs="Verdana"/>
          <w:i/>
          <w:sz w:val="18"/>
        </w:rPr>
        <w:t xml:space="preserve">. So in your Learning Agreement for Studies you should write: </w:t>
      </w:r>
      <w:r>
        <w:rPr>
          <w:rFonts w:ascii="Verdana" w:eastAsia="Verdana" w:hAnsi="Verdana" w:cs="Verdana"/>
          <w:b/>
          <w:i/>
          <w:sz w:val="18"/>
        </w:rPr>
        <w:t>0521</w:t>
      </w:r>
      <w:r>
        <w:rPr>
          <w:rFonts w:ascii="Verdana" w:eastAsia="Verdana" w:hAnsi="Verdana" w:cs="Verdana"/>
          <w:i/>
          <w:sz w:val="18"/>
        </w:rPr>
        <w:t xml:space="preserve">. </w:t>
      </w:r>
    </w:p>
    <w:p w:rsidR="00695F30" w:rsidRDefault="00FF27DE">
      <w:pPr>
        <w:numPr>
          <w:ilvl w:val="0"/>
          <w:numId w:val="1"/>
        </w:numPr>
        <w:spacing w:after="203" w:line="271" w:lineRule="auto"/>
        <w:ind w:hanging="300"/>
        <w:jc w:val="both"/>
      </w:pPr>
      <w:r>
        <w:rPr>
          <w:rFonts w:ascii="Verdana" w:eastAsia="Verdana" w:hAnsi="Verdana" w:cs="Verdana"/>
          <w:b/>
          <w:sz w:val="18"/>
        </w:rPr>
        <w:t>Country code</w:t>
      </w:r>
      <w:r>
        <w:rPr>
          <w:rFonts w:ascii="Verdana" w:eastAsia="Verdana" w:hAnsi="Verdana" w:cs="Verdana"/>
          <w:sz w:val="18"/>
        </w:rPr>
        <w:t xml:space="preserve">: ISO 3166-2 country codes available at: </w:t>
      </w:r>
      <w:hyperlink r:id="rId16" w:anchor="search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https://w</w:t>
        </w:r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ww.iso.org/obp/ui/#search</w:t>
        </w:r>
      </w:hyperlink>
      <w:hyperlink r:id="rId17" w:anchor="search">
        <w:r>
          <w:rPr>
            <w:rFonts w:ascii="Verdana" w:eastAsia="Verdana" w:hAnsi="Verdana" w:cs="Verdana"/>
            <w:sz w:val="18"/>
          </w:rPr>
          <w:t xml:space="preserve"> </w:t>
        </w:r>
      </w:hyperlink>
    </w:p>
    <w:p w:rsidR="00695F30" w:rsidRDefault="00FF27DE">
      <w:pPr>
        <w:spacing w:after="260" w:line="268" w:lineRule="auto"/>
        <w:ind w:left="422" w:hanging="10"/>
        <w:jc w:val="both"/>
      </w:pPr>
      <w:r>
        <w:rPr>
          <w:rFonts w:ascii="Verdana" w:eastAsia="Verdana" w:hAnsi="Verdana" w:cs="Verdana"/>
          <w:i/>
          <w:sz w:val="18"/>
        </w:rPr>
        <w:t xml:space="preserve">Example: Your country name is “Poland” – your country code is “PL”. So you should write </w:t>
      </w:r>
      <w:r>
        <w:rPr>
          <w:rFonts w:ascii="Verdana" w:eastAsia="Verdana" w:hAnsi="Verdana" w:cs="Verdana"/>
          <w:b/>
          <w:i/>
          <w:sz w:val="18"/>
        </w:rPr>
        <w:t>Poland, PL</w:t>
      </w:r>
      <w:r>
        <w:rPr>
          <w:rFonts w:ascii="Verdana" w:eastAsia="Verdana" w:hAnsi="Verdana" w:cs="Verdana"/>
          <w:i/>
          <w:sz w:val="18"/>
        </w:rPr>
        <w:t xml:space="preserve">. </w:t>
      </w:r>
    </w:p>
    <w:p w:rsidR="00695F30" w:rsidRDefault="00FF27DE">
      <w:pPr>
        <w:numPr>
          <w:ilvl w:val="0"/>
          <w:numId w:val="1"/>
        </w:numPr>
        <w:spacing w:after="203" w:line="271" w:lineRule="auto"/>
        <w:ind w:hanging="30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821741</wp:posOffset>
                </wp:positionH>
                <wp:positionV relativeFrom="page">
                  <wp:posOffset>415699</wp:posOffset>
                </wp:positionV>
                <wp:extent cx="5839333" cy="483460"/>
                <wp:effectExtent l="0" t="0" r="0" b="0"/>
                <wp:wrapTopAndBottom/>
                <wp:docPr id="1732" name="Group 1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333" cy="483460"/>
                          <a:chOff x="0" y="0"/>
                          <a:chExt cx="5839333" cy="48346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200986" y="597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30" w:rsidRDefault="00FF27D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" name="Shape 2017"/>
                        <wps:cNvSpPr/>
                        <wps:spPr>
                          <a:xfrm>
                            <a:off x="0" y="477365"/>
                            <a:ext cx="58393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 h="9144">
                                <a:moveTo>
                                  <a:pt x="0" y="0"/>
                                </a:moveTo>
                                <a:lnTo>
                                  <a:pt x="5839333" y="0"/>
                                </a:lnTo>
                                <a:lnTo>
                                  <a:pt x="58393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8651" y="35404"/>
                            <a:ext cx="204825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3065094" y="0"/>
                            <a:ext cx="1304258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30" w:rsidRDefault="00FF27D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>Higher 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045280" y="0"/>
                            <a:ext cx="46445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30" w:rsidRDefault="00FF27D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65094" y="269748"/>
                            <a:ext cx="1957202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30" w:rsidRDefault="00FF27D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>Learning Agreement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36008" y="269748"/>
                            <a:ext cx="46445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F30" w:rsidRDefault="00FF27D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32" style="width:459.79pt;height:38.0677pt;position:absolute;mso-position-horizontal-relative:page;mso-position-horizontal:absolute;margin-left:64.704pt;mso-position-vertical-relative:page;margin-top:32.7322pt;" coordsize="58393,4834">
                <v:rect id="Rectangle 6" style="position:absolute;width:421;height:1899;left:22009;top: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18" style="position:absolute;width:58393;height:91;left:0;top:4773;" coordsize="5839333,9144" path="m0,0l5839333,0l5839333,9144l0,9144l0,0">
                  <v:stroke weight="0pt" endcap="flat" joinstyle="miter" miterlimit="10" on="false" color="#000000" opacity="0"/>
                  <v:fill on="true" color="#000000"/>
                </v:shape>
                <v:shape id="Picture 11" style="position:absolute;width:20482;height:3718;left:286;top:354;" filled="f">
                  <v:imagedata r:id="rId19"/>
                </v:shape>
                <v:rect id="Rectangle 13" style="position:absolute;width:13042;height:1323;left:3065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003cb4"/>
                            <w:sz w:val="16"/>
                          </w:rPr>
                          <w:t xml:space="preserve">Higher Education</w:t>
                        </w:r>
                      </w:p>
                    </w:txbxContent>
                  </v:textbox>
                </v:rect>
                <v:rect id="Rectangle 14" style="position:absolute;width:464;height:1323;left:4045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003cb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19572;height:1323;left:30650;top:2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003cb4"/>
                            <w:sz w:val="16"/>
                          </w:rPr>
                          <w:t xml:space="preserve">Learning Agreement form</w:t>
                        </w:r>
                      </w:p>
                    </w:txbxContent>
                  </v:textbox>
                </v:rect>
                <v:rect id="Rectangle 16" style="position:absolute;width:464;height:1323;left:45360;top:2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003cb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Verdana" w:eastAsia="Verdana" w:hAnsi="Verdana" w:cs="Verdana"/>
          <w:b/>
          <w:sz w:val="18"/>
        </w:rPr>
        <w:t>Contact person</w:t>
      </w:r>
      <w:r>
        <w:rPr>
          <w:rFonts w:ascii="Verdana" w:eastAsia="Verdana" w:hAnsi="Verdana" w:cs="Verdana"/>
          <w:sz w:val="18"/>
        </w:rPr>
        <w:t xml:space="preserve">: a person who provides a link for </w:t>
      </w:r>
      <w:r>
        <w:rPr>
          <w:rFonts w:ascii="Verdana" w:eastAsia="Verdana" w:hAnsi="Verdana" w:cs="Verdana"/>
          <w:b/>
          <w:sz w:val="18"/>
        </w:rPr>
        <w:t>administrative</w:t>
      </w:r>
      <w:r>
        <w:rPr>
          <w:rFonts w:ascii="Verdana" w:eastAsia="Verdana" w:hAnsi="Verdana" w:cs="Verdana"/>
          <w:sz w:val="18"/>
        </w:rPr>
        <w:t xml:space="preserve"> information and who, depending on the structure of the higher education institution, may be the departmental coordinator or will work at the international relations office or equivalent body w</w:t>
      </w:r>
      <w:r>
        <w:rPr>
          <w:rFonts w:ascii="Verdana" w:eastAsia="Verdana" w:hAnsi="Verdana" w:cs="Verdana"/>
          <w:sz w:val="18"/>
        </w:rPr>
        <w:t xml:space="preserve">ithin the institution. </w:t>
      </w:r>
    </w:p>
    <w:p w:rsidR="00695F30" w:rsidRDefault="00FF27DE">
      <w:pPr>
        <w:spacing w:after="209" w:line="268" w:lineRule="auto"/>
        <w:ind w:left="422" w:hanging="10"/>
        <w:jc w:val="both"/>
      </w:pPr>
      <w:r>
        <w:rPr>
          <w:rFonts w:ascii="Verdana" w:eastAsia="Verdana" w:hAnsi="Verdana" w:cs="Verdana"/>
          <w:i/>
          <w:sz w:val="18"/>
        </w:rPr>
        <w:t xml:space="preserve">Usually, this is a person that works at IRO - international relations office (“Erasmus office”) of your university and takes care of outbound (outgoing) students. It is very important to give email to the </w:t>
      </w:r>
      <w:r>
        <w:rPr>
          <w:rFonts w:ascii="Verdana" w:eastAsia="Verdana" w:hAnsi="Verdana" w:cs="Verdana"/>
          <w:b/>
          <w:i/>
          <w:sz w:val="18"/>
        </w:rPr>
        <w:t>Contact person</w:t>
      </w:r>
      <w:r>
        <w:rPr>
          <w:rFonts w:ascii="Verdana" w:eastAsia="Verdana" w:hAnsi="Verdana" w:cs="Verdana"/>
          <w:i/>
          <w:sz w:val="18"/>
        </w:rPr>
        <w:t>, because all</w:t>
      </w:r>
      <w:r>
        <w:rPr>
          <w:rFonts w:ascii="Verdana" w:eastAsia="Verdana" w:hAnsi="Verdana" w:cs="Verdana"/>
          <w:i/>
          <w:sz w:val="18"/>
        </w:rPr>
        <w:t xml:space="preserve"> your scanned documents will be directed to this email. </w:t>
      </w:r>
    </w:p>
    <w:p w:rsidR="00695F30" w:rsidRDefault="00FF27DE">
      <w:pPr>
        <w:numPr>
          <w:ilvl w:val="0"/>
          <w:numId w:val="1"/>
        </w:numPr>
        <w:spacing w:after="203" w:line="271" w:lineRule="auto"/>
        <w:ind w:hanging="300"/>
        <w:jc w:val="both"/>
      </w:pPr>
      <w:r>
        <w:rPr>
          <w:rFonts w:ascii="Verdana" w:eastAsia="Verdana" w:hAnsi="Verdana" w:cs="Verdana"/>
          <w:sz w:val="18"/>
        </w:rPr>
        <w:t>An "</w:t>
      </w:r>
      <w:r>
        <w:rPr>
          <w:rFonts w:ascii="Verdana" w:eastAsia="Verdana" w:hAnsi="Verdana" w:cs="Verdana"/>
          <w:b/>
          <w:sz w:val="18"/>
        </w:rPr>
        <w:t>educational component</w:t>
      </w:r>
      <w:r>
        <w:rPr>
          <w:rFonts w:ascii="Verdana" w:eastAsia="Verdana" w:hAnsi="Verdana" w:cs="Verdana"/>
          <w:sz w:val="18"/>
        </w:rPr>
        <w:t>" is a self-contained and formal structured learning experience that features learning outcomes, credits and forms of assessment. Examples of</w:t>
      </w:r>
      <w:r>
        <w:rPr>
          <w:rFonts w:ascii="Verdana" w:eastAsia="Verdana" w:hAnsi="Verdana" w:cs="Verdana"/>
          <w:color w:val="FF0000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educational components are: a </w:t>
      </w:r>
      <w:r>
        <w:rPr>
          <w:rFonts w:ascii="Verdana" w:eastAsia="Verdana" w:hAnsi="Verdana" w:cs="Verdana"/>
          <w:b/>
          <w:sz w:val="18"/>
        </w:rPr>
        <w:t>co</w:t>
      </w:r>
      <w:r>
        <w:rPr>
          <w:rFonts w:ascii="Verdana" w:eastAsia="Verdana" w:hAnsi="Verdana" w:cs="Verdana"/>
          <w:b/>
          <w:sz w:val="18"/>
        </w:rPr>
        <w:t>urse</w:t>
      </w:r>
      <w:r>
        <w:rPr>
          <w:rFonts w:ascii="Verdana" w:eastAsia="Verdana" w:hAnsi="Verdana" w:cs="Verdana"/>
          <w:sz w:val="18"/>
        </w:rPr>
        <w:t xml:space="preserve">, </w:t>
      </w:r>
      <w:r>
        <w:rPr>
          <w:rFonts w:ascii="Verdana" w:eastAsia="Verdana" w:hAnsi="Verdana" w:cs="Verdana"/>
          <w:b/>
          <w:sz w:val="18"/>
        </w:rPr>
        <w:t>module</w:t>
      </w:r>
      <w:r>
        <w:rPr>
          <w:rFonts w:ascii="Verdana" w:eastAsia="Verdana" w:hAnsi="Verdana" w:cs="Verdana"/>
          <w:sz w:val="18"/>
        </w:rPr>
        <w:t xml:space="preserve">, </w:t>
      </w:r>
      <w:r>
        <w:rPr>
          <w:rFonts w:ascii="Verdana" w:eastAsia="Verdana" w:hAnsi="Verdana" w:cs="Verdana"/>
          <w:b/>
          <w:sz w:val="18"/>
        </w:rPr>
        <w:t>seminar</w:t>
      </w:r>
      <w:r>
        <w:rPr>
          <w:rFonts w:ascii="Verdana" w:eastAsia="Verdana" w:hAnsi="Verdana" w:cs="Verdana"/>
          <w:sz w:val="18"/>
        </w:rPr>
        <w:t xml:space="preserve">, </w:t>
      </w:r>
      <w:r>
        <w:rPr>
          <w:rFonts w:ascii="Verdana" w:eastAsia="Verdana" w:hAnsi="Verdana" w:cs="Verdana"/>
          <w:b/>
          <w:sz w:val="18"/>
        </w:rPr>
        <w:t>laboratory work</w:t>
      </w:r>
      <w:r>
        <w:rPr>
          <w:rFonts w:ascii="Verdana" w:eastAsia="Verdana" w:hAnsi="Verdana" w:cs="Verdana"/>
          <w:sz w:val="18"/>
        </w:rPr>
        <w:t xml:space="preserve">, </w:t>
      </w:r>
      <w:r>
        <w:rPr>
          <w:rFonts w:ascii="Verdana" w:eastAsia="Verdana" w:hAnsi="Verdana" w:cs="Verdana"/>
          <w:b/>
          <w:sz w:val="18"/>
        </w:rPr>
        <w:t>practical work</w:t>
      </w:r>
      <w:r>
        <w:rPr>
          <w:rFonts w:ascii="Verdana" w:eastAsia="Verdana" w:hAnsi="Verdana" w:cs="Verdana"/>
          <w:sz w:val="18"/>
        </w:rPr>
        <w:t xml:space="preserve">, </w:t>
      </w:r>
      <w:r>
        <w:rPr>
          <w:rFonts w:ascii="Verdana" w:eastAsia="Verdana" w:hAnsi="Verdana" w:cs="Verdana"/>
          <w:b/>
          <w:sz w:val="18"/>
        </w:rPr>
        <w:t>preparation/research for a thesis</w:t>
      </w:r>
      <w:r>
        <w:rPr>
          <w:rFonts w:ascii="Verdana" w:eastAsia="Verdana" w:hAnsi="Verdana" w:cs="Verdana"/>
          <w:sz w:val="18"/>
        </w:rPr>
        <w:t xml:space="preserve">, </w:t>
      </w:r>
      <w:r>
        <w:rPr>
          <w:rFonts w:ascii="Verdana" w:eastAsia="Verdana" w:hAnsi="Verdana" w:cs="Verdana"/>
          <w:b/>
          <w:sz w:val="18"/>
        </w:rPr>
        <w:t>mobility window</w:t>
      </w:r>
      <w:r>
        <w:rPr>
          <w:rFonts w:ascii="Verdana" w:eastAsia="Verdana" w:hAnsi="Verdana" w:cs="Verdana"/>
          <w:sz w:val="18"/>
        </w:rPr>
        <w:t xml:space="preserve"> or </w:t>
      </w:r>
      <w:r>
        <w:rPr>
          <w:rFonts w:ascii="Verdana" w:eastAsia="Verdana" w:hAnsi="Verdana" w:cs="Verdana"/>
          <w:b/>
          <w:sz w:val="18"/>
        </w:rPr>
        <w:t>free electives</w:t>
      </w:r>
      <w:r>
        <w:rPr>
          <w:rFonts w:ascii="Verdana" w:eastAsia="Verdana" w:hAnsi="Verdana" w:cs="Verdana"/>
          <w:sz w:val="18"/>
        </w:rPr>
        <w:t xml:space="preserve">. </w:t>
      </w:r>
    </w:p>
    <w:p w:rsidR="00695F30" w:rsidRDefault="00FF27DE">
      <w:pPr>
        <w:numPr>
          <w:ilvl w:val="0"/>
          <w:numId w:val="1"/>
        </w:numPr>
        <w:spacing w:after="46" w:line="271" w:lineRule="auto"/>
        <w:ind w:hanging="300"/>
        <w:jc w:val="both"/>
      </w:pPr>
      <w:r>
        <w:rPr>
          <w:rFonts w:ascii="Verdana" w:eastAsia="Verdana" w:hAnsi="Verdana" w:cs="Verdana"/>
          <w:sz w:val="18"/>
        </w:rPr>
        <w:t>For the Common European Framework of Reference for Languages (</w:t>
      </w:r>
      <w:r>
        <w:rPr>
          <w:rFonts w:ascii="Verdana" w:eastAsia="Verdana" w:hAnsi="Verdana" w:cs="Verdana"/>
          <w:b/>
          <w:sz w:val="18"/>
        </w:rPr>
        <w:t>CEFR</w:t>
      </w:r>
      <w:r>
        <w:rPr>
          <w:rFonts w:ascii="Verdana" w:eastAsia="Verdana" w:hAnsi="Verdana" w:cs="Verdana"/>
          <w:sz w:val="18"/>
        </w:rPr>
        <w:t xml:space="preserve">) see </w:t>
      </w:r>
    </w:p>
    <w:p w:rsidR="00695F30" w:rsidRDefault="00FF27DE">
      <w:pPr>
        <w:spacing w:after="264"/>
      </w:pPr>
      <w:hyperlink r:id="rId20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http://europass.cedefop.europa.eu/en/resources/european</w:t>
        </w:r>
      </w:hyperlink>
      <w:hyperlink r:id="rId21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-</w:t>
        </w:r>
      </w:hyperlink>
      <w:hyperlink r:id="rId22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language</w:t>
        </w:r>
      </w:hyperlink>
      <w:hyperlink r:id="rId23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-</w:t>
        </w:r>
      </w:hyperlink>
      <w:hyperlink r:id="rId24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levels</w:t>
        </w:r>
      </w:hyperlink>
      <w:hyperlink r:id="rId25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-</w:t>
        </w:r>
      </w:hyperlink>
      <w:hyperlink r:id="rId26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cefr</w:t>
        </w:r>
      </w:hyperlink>
      <w:hyperlink r:id="rId27">
        <w:r>
          <w:rPr>
            <w:rFonts w:ascii="Verdana" w:eastAsia="Verdana" w:hAnsi="Verdana" w:cs="Verdana"/>
            <w:sz w:val="18"/>
            <w:vertAlign w:val="superscript"/>
          </w:rPr>
          <w:t xml:space="preserve"> </w:t>
        </w:r>
      </w:hyperlink>
    </w:p>
    <w:p w:rsidR="00695F30" w:rsidRDefault="00FF27DE">
      <w:pPr>
        <w:numPr>
          <w:ilvl w:val="0"/>
          <w:numId w:val="1"/>
        </w:numPr>
        <w:spacing w:after="236" w:line="283" w:lineRule="auto"/>
        <w:ind w:hanging="300"/>
        <w:jc w:val="both"/>
      </w:pPr>
      <w:r>
        <w:rPr>
          <w:rFonts w:ascii="Verdana" w:eastAsia="Verdana" w:hAnsi="Verdana" w:cs="Verdana"/>
          <w:b/>
          <w:sz w:val="18"/>
        </w:rPr>
        <w:t>Responsible person in the sending institution</w:t>
      </w:r>
      <w:r>
        <w:rPr>
          <w:rFonts w:ascii="Verdana" w:eastAsia="Verdana" w:hAnsi="Verdana" w:cs="Verdana"/>
          <w:sz w:val="18"/>
        </w:rPr>
        <w:t xml:space="preserve">: an </w:t>
      </w:r>
      <w:r>
        <w:rPr>
          <w:rFonts w:ascii="Verdana" w:eastAsia="Verdana" w:hAnsi="Verdana" w:cs="Verdana"/>
          <w:b/>
          <w:sz w:val="18"/>
        </w:rPr>
        <w:t>academic</w:t>
      </w:r>
      <w:r>
        <w:rPr>
          <w:rFonts w:ascii="Verdana" w:eastAsia="Verdana" w:hAnsi="Verdana" w:cs="Verdana"/>
          <w:sz w:val="18"/>
        </w:rPr>
        <w:t xml:space="preserve"> who has the </w:t>
      </w:r>
      <w:r>
        <w:rPr>
          <w:rFonts w:ascii="Verdana" w:eastAsia="Verdana" w:hAnsi="Verdana" w:cs="Verdana"/>
          <w:b/>
          <w:sz w:val="18"/>
        </w:rPr>
        <w:t>authority  to approve</w:t>
      </w:r>
      <w:r>
        <w:rPr>
          <w:rFonts w:ascii="Verdana" w:eastAsia="Verdana" w:hAnsi="Verdana" w:cs="Verdana"/>
          <w:sz w:val="18"/>
        </w:rPr>
        <w:t xml:space="preserve"> the  mobility programme of outbound students (Learning Agreements), to exceptio</w:t>
      </w:r>
      <w:r>
        <w:rPr>
          <w:rFonts w:ascii="Verdana" w:eastAsia="Verdana" w:hAnsi="Verdana" w:cs="Verdana"/>
          <w:sz w:val="18"/>
        </w:rPr>
        <w:t xml:space="preserve">nally amend them when it is needed, as well as to guarantee full recognition of such programmes on behalf of the responsible academic body. </w:t>
      </w:r>
    </w:p>
    <w:p w:rsidR="00695F30" w:rsidRDefault="00FF27DE">
      <w:pPr>
        <w:numPr>
          <w:ilvl w:val="0"/>
          <w:numId w:val="1"/>
        </w:numPr>
        <w:spacing w:after="190" w:line="283" w:lineRule="auto"/>
        <w:ind w:hanging="300"/>
        <w:jc w:val="both"/>
      </w:pPr>
      <w:r>
        <w:rPr>
          <w:rFonts w:ascii="Verdana" w:eastAsia="Verdana" w:hAnsi="Verdana" w:cs="Verdana"/>
          <w:b/>
          <w:sz w:val="18"/>
        </w:rPr>
        <w:t>Responsible person in the receiving institution</w:t>
      </w:r>
      <w:r>
        <w:rPr>
          <w:rFonts w:ascii="Verdana" w:eastAsia="Verdana" w:hAnsi="Verdana" w:cs="Verdana"/>
          <w:sz w:val="18"/>
        </w:rPr>
        <w:t xml:space="preserve">: an </w:t>
      </w:r>
      <w:r>
        <w:rPr>
          <w:rFonts w:ascii="Verdana" w:eastAsia="Verdana" w:hAnsi="Verdana" w:cs="Verdana"/>
          <w:b/>
          <w:sz w:val="18"/>
        </w:rPr>
        <w:t>academic</w:t>
      </w:r>
      <w:r>
        <w:rPr>
          <w:rFonts w:ascii="Verdana" w:eastAsia="Verdana" w:hAnsi="Verdana" w:cs="Verdana"/>
          <w:sz w:val="18"/>
        </w:rPr>
        <w:t xml:space="preserve"> who has the </w:t>
      </w:r>
      <w:r>
        <w:rPr>
          <w:rFonts w:ascii="Verdana" w:eastAsia="Verdana" w:hAnsi="Verdana" w:cs="Verdana"/>
          <w:b/>
          <w:sz w:val="18"/>
        </w:rPr>
        <w:t>authority to approve</w:t>
      </w:r>
      <w:r>
        <w:rPr>
          <w:rFonts w:ascii="Verdana" w:eastAsia="Verdana" w:hAnsi="Verdana" w:cs="Verdana"/>
          <w:sz w:val="18"/>
        </w:rPr>
        <w:t xml:space="preserve"> the mobility programm</w:t>
      </w:r>
      <w:r>
        <w:rPr>
          <w:rFonts w:ascii="Verdana" w:eastAsia="Verdana" w:hAnsi="Verdana" w:cs="Verdana"/>
          <w:sz w:val="18"/>
        </w:rPr>
        <w:t xml:space="preserve">e of incoming students and is committed to give them academic support in the course of their studies at the receiving institution. </w:t>
      </w:r>
    </w:p>
    <w:p w:rsidR="00695F30" w:rsidRDefault="00FF27DE">
      <w:pPr>
        <w:spacing w:after="417" w:line="277" w:lineRule="auto"/>
        <w:ind w:left="427"/>
      </w:pPr>
      <w:r>
        <w:rPr>
          <w:rFonts w:ascii="Verdana" w:eastAsia="Verdana" w:hAnsi="Verdana" w:cs="Verdana"/>
          <w:i/>
          <w:sz w:val="18"/>
        </w:rPr>
        <w:t>Responsible person for approving (=signing) your Learning Agreement for Studies is usually a faculty coordinator or dean tha</w:t>
      </w:r>
      <w:r>
        <w:rPr>
          <w:rFonts w:ascii="Verdana" w:eastAsia="Verdana" w:hAnsi="Verdana" w:cs="Verdana"/>
          <w:i/>
          <w:sz w:val="18"/>
        </w:rPr>
        <w:t xml:space="preserve">t takes care of Erasmus programme at a university. A list of </w:t>
      </w:r>
      <w:r>
        <w:rPr>
          <w:rFonts w:ascii="Verdana" w:eastAsia="Verdana" w:hAnsi="Verdana" w:cs="Verdana"/>
          <w:i/>
          <w:sz w:val="18"/>
        </w:rPr>
        <w:lastRenderedPageBreak/>
        <w:t xml:space="preserve">faculty coordinators at BUT can be found here: </w:t>
      </w:r>
      <w:hyperlink r:id="rId28">
        <w:r>
          <w:rPr>
            <w:rFonts w:ascii="Verdana" w:eastAsia="Verdana" w:hAnsi="Verdana" w:cs="Verdana"/>
            <w:i/>
            <w:color w:val="0000FF"/>
            <w:sz w:val="18"/>
            <w:u w:val="single" w:color="0000FF"/>
          </w:rPr>
          <w:t>http://erasmus.pb.edu.pl/faculty</w:t>
        </w:r>
      </w:hyperlink>
      <w:hyperlink r:id="rId29">
        <w:r>
          <w:rPr>
            <w:rFonts w:ascii="Verdana" w:eastAsia="Verdana" w:hAnsi="Verdana" w:cs="Verdana"/>
            <w:i/>
            <w:color w:val="0000FF"/>
            <w:sz w:val="18"/>
            <w:u w:val="single" w:color="0000FF"/>
          </w:rPr>
          <w:t>-</w:t>
        </w:r>
      </w:hyperlink>
      <w:hyperlink r:id="rId30">
        <w:r>
          <w:rPr>
            <w:rFonts w:ascii="Verdana" w:eastAsia="Verdana" w:hAnsi="Verdana" w:cs="Verdana"/>
            <w:i/>
            <w:color w:val="0000FF"/>
            <w:sz w:val="18"/>
            <w:u w:val="single" w:color="0000FF"/>
          </w:rPr>
          <w:t>erasmus</w:t>
        </w:r>
      </w:hyperlink>
      <w:hyperlink r:id="rId31"/>
      <w:hyperlink r:id="rId32">
        <w:r>
          <w:rPr>
            <w:rFonts w:ascii="Verdana" w:eastAsia="Verdana" w:hAnsi="Verdana" w:cs="Verdana"/>
            <w:i/>
            <w:color w:val="0000FF"/>
            <w:sz w:val="18"/>
            <w:u w:val="single" w:color="0000FF"/>
          </w:rPr>
          <w:t>coordinators/</w:t>
        </w:r>
      </w:hyperlink>
      <w:hyperlink r:id="rId33">
        <w:r>
          <w:rPr>
            <w:rFonts w:ascii="Verdana" w:eastAsia="Verdana" w:hAnsi="Verdana" w:cs="Verdana"/>
            <w:i/>
            <w:sz w:val="18"/>
          </w:rPr>
          <w:t xml:space="preserve"> </w:t>
        </w:r>
      </w:hyperlink>
      <w:r>
        <w:rPr>
          <w:rFonts w:ascii="Verdana" w:eastAsia="Verdana" w:hAnsi="Verdana" w:cs="Verdana"/>
          <w:i/>
          <w:sz w:val="18"/>
        </w:rPr>
        <w:t xml:space="preserve"> </w:t>
      </w:r>
    </w:p>
    <w:p w:rsidR="00695F30" w:rsidRDefault="00FF27DE">
      <w:pPr>
        <w:spacing w:after="0"/>
      </w:pPr>
      <w:r>
        <w:t xml:space="preserve"> </w:t>
      </w:r>
    </w:p>
    <w:sectPr w:rsidR="00695F30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A57"/>
    <w:multiLevelType w:val="hybridMultilevel"/>
    <w:tmpl w:val="94A2A030"/>
    <w:lvl w:ilvl="0" w:tplc="D30ABF0A">
      <w:start w:val="1"/>
      <w:numFmt w:val="decimal"/>
      <w:lvlText w:val="%1"/>
      <w:lvlJc w:val="left"/>
      <w:pPr>
        <w:ind w:left="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7936A21C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CA142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EC88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FEEA7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9C7F8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880B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BCA63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EE27A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30"/>
    <w:rsid w:val="00695F30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94CFB-1402-4CDC-82B6-6EC51462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tools/isced-f_en.htm" TargetMode="External"/><Relationship Id="rId13" Type="http://schemas.openxmlformats.org/officeDocument/2006/relationships/hyperlink" Target="http://ec.europa.eu/education/tools/isced-f_en.htm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uropass.cedefop.europa.eu/en/resources/european-language-levels-cef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c.europa.eu/education/tools/isced-f_en.htm" TargetMode="External"/><Relationship Id="rId12" Type="http://schemas.openxmlformats.org/officeDocument/2006/relationships/hyperlink" Target="http://ec.europa.eu/education/tools/isced-f_en.htm" TargetMode="External"/><Relationship Id="rId17" Type="http://schemas.openxmlformats.org/officeDocument/2006/relationships/hyperlink" Target="https://www.iso.org/obp/ui/" TargetMode="External"/><Relationship Id="rId25" Type="http://schemas.openxmlformats.org/officeDocument/2006/relationships/hyperlink" Target="http://europass.cedefop.europa.eu/en/resources/european-language-levels-cefr" TargetMode="External"/><Relationship Id="rId33" Type="http://schemas.openxmlformats.org/officeDocument/2006/relationships/hyperlink" Target="http://erasmus.pb.edu.pl/faculty-erasmus-coordinato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so.org/obp/ui/" TargetMode="External"/><Relationship Id="rId20" Type="http://schemas.openxmlformats.org/officeDocument/2006/relationships/hyperlink" Target="http://europass.cedefop.europa.eu/en/resources/european-language-levels-cefr" TargetMode="External"/><Relationship Id="rId29" Type="http://schemas.openxmlformats.org/officeDocument/2006/relationships/hyperlink" Target="http://erasmus.pb.edu.pl/faculty-erasmus-coordinato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uropean_Qualifications_Framework" TargetMode="External"/><Relationship Id="rId11" Type="http://schemas.openxmlformats.org/officeDocument/2006/relationships/hyperlink" Target="http://ec.europa.eu/education/tools/isced-f_en.htm" TargetMode="External"/><Relationship Id="rId24" Type="http://schemas.openxmlformats.org/officeDocument/2006/relationships/hyperlink" Target="http://europass.cedefop.europa.eu/en/resources/european-language-levels-cefr" TargetMode="External"/><Relationship Id="rId32" Type="http://schemas.openxmlformats.org/officeDocument/2006/relationships/hyperlink" Target="http://erasmus.pb.edu.pl/faculty-erasmus-coordinators/" TargetMode="External"/><Relationship Id="rId5" Type="http://schemas.openxmlformats.org/officeDocument/2006/relationships/hyperlink" Target="http://en.wikipedia.org/wiki/European_Qualifications_Framework" TargetMode="External"/><Relationship Id="rId15" Type="http://schemas.openxmlformats.org/officeDocument/2006/relationships/hyperlink" Target="http://ec.europa.eu/education/tools/isced-f_en.htm" TargetMode="External"/><Relationship Id="rId23" Type="http://schemas.openxmlformats.org/officeDocument/2006/relationships/hyperlink" Target="http://europass.cedefop.europa.eu/en/resources/european-language-levels-cefr" TargetMode="External"/><Relationship Id="rId28" Type="http://schemas.openxmlformats.org/officeDocument/2006/relationships/hyperlink" Target="http://erasmus.pb.edu.pl/faculty-erasmus-coordinators/" TargetMode="External"/><Relationship Id="rId10" Type="http://schemas.openxmlformats.org/officeDocument/2006/relationships/hyperlink" Target="http://ec.europa.eu/education/tools/isced-f_en.htm" TargetMode="External"/><Relationship Id="rId19" Type="http://schemas.openxmlformats.org/officeDocument/2006/relationships/image" Target="media/image0.png"/><Relationship Id="rId31" Type="http://schemas.openxmlformats.org/officeDocument/2006/relationships/hyperlink" Target="http://erasmus.pb.edu.pl/faculty-erasmus-coordinat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ducation/tools/isced-f_en.htm" TargetMode="External"/><Relationship Id="rId14" Type="http://schemas.openxmlformats.org/officeDocument/2006/relationships/hyperlink" Target="http://ec.europa.eu/education/tools/isced-f_en.htm" TargetMode="External"/><Relationship Id="rId22" Type="http://schemas.openxmlformats.org/officeDocument/2006/relationships/hyperlink" Target="http://europass.cedefop.europa.eu/en/resources/european-language-levels-cefr" TargetMode="External"/><Relationship Id="rId27" Type="http://schemas.openxmlformats.org/officeDocument/2006/relationships/hyperlink" Target="http://europass.cedefop.europa.eu/en/resources/european-language-levels-cefr" TargetMode="External"/><Relationship Id="rId30" Type="http://schemas.openxmlformats.org/officeDocument/2006/relationships/hyperlink" Target="http://erasmus.pb.edu.pl/faculty-erasmus-coordinators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4540</Characters>
  <Application>Microsoft Office Word</Application>
  <DocSecurity>0</DocSecurity>
  <Lines>37</Lines>
  <Paragraphs>10</Paragraphs>
  <ScaleCrop>false</ScaleCrop>
  <Company>Microsoft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Kasianowicz Adam</cp:lastModifiedBy>
  <cp:revision>2</cp:revision>
  <dcterms:created xsi:type="dcterms:W3CDTF">2016-10-18T07:27:00Z</dcterms:created>
  <dcterms:modified xsi:type="dcterms:W3CDTF">2016-10-18T07:27:00Z</dcterms:modified>
</cp:coreProperties>
</file>