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C" w:rsidRPr="00195A4C" w:rsidRDefault="00195A4C" w:rsidP="00195A4C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 do Zarządzenia Nr 915 z 2019 r.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535"/>
        <w:gridCol w:w="527"/>
        <w:gridCol w:w="540"/>
        <w:gridCol w:w="526"/>
        <w:gridCol w:w="546"/>
        <w:gridCol w:w="544"/>
        <w:gridCol w:w="527"/>
        <w:gridCol w:w="1595"/>
        <w:gridCol w:w="1019"/>
        <w:gridCol w:w="1055"/>
      </w:tblGrid>
      <w:tr w:rsidR="0051359A" w:rsidRPr="0051359A" w:rsidTr="003C32A4">
        <w:trPr>
          <w:trHeight w:val="450"/>
        </w:trPr>
        <w:tc>
          <w:tcPr>
            <w:tcW w:w="9062" w:type="dxa"/>
            <w:gridSpan w:val="11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925EF7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</w:tr>
      <w:tr w:rsidR="0051359A" w:rsidRPr="0051359A" w:rsidTr="003C32A4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925EF7" w:rsidP="00532523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Bachelor’s </w:t>
            </w:r>
            <w:r w:rsidR="00532523">
              <w:rPr>
                <w:rFonts w:ascii="Arial Narrow" w:eastAsia="Times New Roman" w:hAnsi="Arial Narrow"/>
                <w:b/>
                <w:lang w:val="en-GB"/>
              </w:rPr>
              <w:t>d</w:t>
            </w:r>
            <w:r>
              <w:rPr>
                <w:rFonts w:ascii="Arial Narrow" w:eastAsia="Times New Roman" w:hAnsi="Arial Narrow"/>
                <w:b/>
                <w:lang w:val="en-GB"/>
              </w:rPr>
              <w:t>egree</w:t>
            </w:r>
          </w:p>
        </w:tc>
      </w:tr>
      <w:tr w:rsidR="0051359A" w:rsidRPr="0051359A" w:rsidTr="003C32A4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53252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53252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745" w:type="dxa"/>
            <w:gridSpan w:val="7"/>
            <w:vMerge w:val="restart"/>
            <w:vAlign w:val="center"/>
          </w:tcPr>
          <w:p w:rsidR="0051359A" w:rsidRPr="0051359A" w:rsidRDefault="0032463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Renewable Energy Technolog</w:t>
            </w:r>
            <w:r w:rsidR="00774DF5">
              <w:rPr>
                <w:rFonts w:ascii="Arial Narrow" w:eastAsia="Times New Roman" w:hAnsi="Arial Narrow"/>
                <w:b/>
                <w:lang w:val="en-GB"/>
              </w:rPr>
              <w:t>ies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53252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IS-FEE-10062W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745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53252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</w:t>
            </w:r>
            <w:r w:rsidR="00BC47C5" w:rsidRPr="00BC47C5">
              <w:rPr>
                <w:rFonts w:ascii="Arial Narrow" w:eastAsia="Times New Roman" w:hAnsi="Arial Narrow"/>
                <w:b/>
                <w:lang w:val="en-GB"/>
              </w:rPr>
              <w:t>lective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3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53252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5" w:type="dxa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2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4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43125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51359A" w:rsidTr="003C32A4">
        <w:trPr>
          <w:trHeight w:val="77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090DD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C743CE" w:rsidTr="003C32A4">
        <w:trPr>
          <w:trHeight w:val="1302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Hlk71789612"/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50692" w:rsidRDefault="00072154" w:rsidP="0007215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072154">
              <w:rPr>
                <w:rFonts w:ascii="Arial Narrow" w:eastAsia="Times New Roman" w:hAnsi="Arial Narrow"/>
                <w:bCs/>
                <w:lang w:val="en-GB"/>
              </w:rPr>
              <w:t>Th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is module will introduce students to various </w:t>
            </w:r>
            <w:r w:rsidRPr="00072154">
              <w:rPr>
                <w:rFonts w:ascii="Arial Narrow" w:eastAsia="Times New Roman" w:hAnsi="Arial Narrow"/>
                <w:bCs/>
                <w:lang w:val="en-GB"/>
              </w:rPr>
              <w:t>renewable energy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072154">
              <w:rPr>
                <w:rFonts w:ascii="Arial Narrow" w:eastAsia="Times New Roman" w:hAnsi="Arial Narrow"/>
                <w:bCs/>
                <w:lang w:val="en-GB"/>
              </w:rPr>
              <w:t xml:space="preserve">resources and technologies </w:t>
            </w:r>
            <w:r>
              <w:rPr>
                <w:rFonts w:ascii="Arial Narrow" w:eastAsia="Times New Roman" w:hAnsi="Arial Narrow"/>
                <w:bCs/>
                <w:lang w:val="en-GB"/>
              </w:rPr>
              <w:t>used for</w:t>
            </w:r>
            <w:r w:rsidRPr="00072154">
              <w:rPr>
                <w:rFonts w:ascii="Arial Narrow" w:eastAsia="Times New Roman" w:hAnsi="Arial Narrow"/>
                <w:bCs/>
                <w:lang w:val="en-GB"/>
              </w:rPr>
              <w:t xml:space="preserve"> harnessing them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. Students will also be able to understand </w:t>
            </w:r>
            <w:r w:rsidR="004426DF">
              <w:rPr>
                <w:rFonts w:ascii="Arial Narrow" w:eastAsia="Times New Roman" w:hAnsi="Arial Narrow"/>
                <w:bCs/>
                <w:lang w:val="en-GB"/>
              </w:rPr>
              <w:t xml:space="preserve">introductory concepts of 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economics </w:t>
            </w:r>
            <w:r w:rsidR="003E15A8">
              <w:rPr>
                <w:rFonts w:ascii="Arial Narrow" w:eastAsia="Times New Roman" w:hAnsi="Arial Narrow"/>
                <w:bCs/>
                <w:lang w:val="en-GB"/>
              </w:rPr>
              <w:t xml:space="preserve">surrounding 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renewable energy system. </w:t>
            </w:r>
          </w:p>
        </w:tc>
      </w:tr>
      <w:tr w:rsidR="0051359A" w:rsidRPr="00C35D57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414" w:type="dxa"/>
            <w:gridSpan w:val="10"/>
            <w:vAlign w:val="center"/>
          </w:tcPr>
          <w:p w:rsidR="00240E64" w:rsidRPr="0051359A" w:rsidRDefault="008D5BF6" w:rsidP="00240E64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Powe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system st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uctu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e, sy</w:t>
            </w:r>
            <w:r w:rsidR="00240E64" w:rsidRPr="00240E64">
              <w:rPr>
                <w:rFonts w:ascii="Arial Narrow" w:eastAsia="Times New Roman" w:hAnsi="Arial Narrow"/>
                <w:bCs/>
                <w:lang w:val="en-GB"/>
              </w:rPr>
              <w:t>stems for converting various forms of energy into electricity. Primary energy sources and processing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 xml:space="preserve"> s</w:t>
            </w:r>
            <w:r w:rsidR="00240E64" w:rsidRPr="00240E64">
              <w:rPr>
                <w:rFonts w:ascii="Arial Narrow" w:eastAsia="Times New Roman" w:hAnsi="Arial Narrow"/>
                <w:bCs/>
                <w:lang w:val="en-GB"/>
              </w:rPr>
              <w:t xml:space="preserve">ystems. 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H</w:t>
            </w:r>
            <w:r w:rsidR="004A61A1" w:rsidRPr="00240E64">
              <w:rPr>
                <w:rFonts w:ascii="Arial Narrow" w:eastAsia="Times New Roman" w:hAnsi="Arial Narrow"/>
                <w:bCs/>
                <w:lang w:val="en-GB"/>
              </w:rPr>
              <w:t xml:space="preserve">ydro, </w:t>
            </w:r>
            <w:r w:rsidR="00240E64" w:rsidRPr="00240E64">
              <w:rPr>
                <w:rFonts w:ascii="Arial Narrow" w:eastAsia="Times New Roman" w:hAnsi="Arial Narrow"/>
                <w:bCs/>
                <w:lang w:val="en-GB"/>
              </w:rPr>
              <w:t xml:space="preserve">Wind, 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Sola</w:t>
            </w:r>
            <w:r w:rsidR="004A61A1" w:rsidRPr="00240E64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 xml:space="preserve"> p</w:t>
            </w:r>
            <w:r w:rsidR="00240E64" w:rsidRPr="00240E64">
              <w:rPr>
                <w:rFonts w:ascii="Arial Narrow" w:eastAsia="Times New Roman" w:hAnsi="Arial Narrow"/>
                <w:bCs/>
                <w:lang w:val="en-GB"/>
              </w:rPr>
              <w:t>hotovoltaic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, Biomass and Geothermal Energy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esources. Co</w:t>
            </w:r>
            <w:r w:rsidR="00240E64" w:rsidRPr="00240E64">
              <w:rPr>
                <w:rFonts w:ascii="Arial Narrow" w:eastAsia="Times New Roman" w:hAnsi="Arial Narrow"/>
                <w:bCs/>
                <w:lang w:val="en-GB"/>
              </w:rPr>
              <w:t>nstruction, operating principle, basic functional characteristics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 xml:space="preserve">of these </w:t>
            </w:r>
            <w:r w:rsidR="004A61A1" w:rsidRPr="00240E64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ES. Sto</w:t>
            </w:r>
            <w:r w:rsidRPr="00240E64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age system</w:t>
            </w:r>
            <w:r>
              <w:rPr>
                <w:rFonts w:ascii="Arial Narrow" w:eastAsia="Times New Roman" w:hAnsi="Arial Narrow"/>
                <w:bCs/>
                <w:lang w:val="en-GB"/>
              </w:rPr>
              <w:t>s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>.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Ene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gy economics su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rr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ounding 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ES, </w:t>
            </w:r>
            <w:r w:rsidR="00C743CE">
              <w:rPr>
                <w:rFonts w:ascii="Arial Narrow" w:eastAsia="Times New Roman" w:hAnsi="Arial Narrow"/>
                <w:bCs/>
                <w:lang w:val="en-GB"/>
              </w:rPr>
              <w:t>costs,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and p</w:t>
            </w:r>
            <w:r w:rsidRPr="008D5BF6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icing scheme.</w:t>
            </w:r>
            <w:r w:rsidR="004A61A1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</w:p>
        </w:tc>
      </w:tr>
      <w:tr w:rsidR="0051359A" w:rsidRPr="00C743CE" w:rsidTr="003C32A4">
        <w:trPr>
          <w:trHeight w:val="73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6E2BB5" w:rsidRDefault="00925EF7" w:rsidP="00E0137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E2BB5">
              <w:rPr>
                <w:rFonts w:ascii="Arial Narrow" w:eastAsia="Times New Roman" w:hAnsi="Arial Narrow"/>
                <w:bCs/>
                <w:lang w:val="en-GB"/>
              </w:rPr>
              <w:t>Lecture</w:t>
            </w:r>
            <w:r w:rsidR="00D71FCE" w:rsidRPr="006E2BB5">
              <w:rPr>
                <w:rFonts w:ascii="Arial Narrow" w:eastAsia="Times New Roman" w:hAnsi="Arial Narrow"/>
                <w:bCs/>
                <w:lang w:val="en-GB"/>
              </w:rPr>
              <w:t>s with the support of media (video) and assignments.</w:t>
            </w:r>
          </w:p>
        </w:tc>
      </w:tr>
      <w:tr w:rsidR="0051359A" w:rsidRPr="00C743CE" w:rsidTr="003C32A4">
        <w:trPr>
          <w:trHeight w:val="55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6E2BB5" w:rsidRDefault="003C32A4" w:rsidP="00E0137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Assignments during the semester and </w:t>
            </w:r>
            <w:r w:rsidR="00FC3B94">
              <w:rPr>
                <w:rFonts w:ascii="Arial Narrow" w:eastAsia="Times New Roman" w:hAnsi="Arial Narrow"/>
                <w:bCs/>
                <w:lang w:val="en-GB"/>
              </w:rPr>
              <w:t>a written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test at the end of the semester.</w:t>
            </w:r>
          </w:p>
        </w:tc>
      </w:tr>
      <w:tr w:rsidR="0051359A" w:rsidRPr="00C743CE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</w:tcPr>
          <w:p w:rsidR="0043125C" w:rsidRPr="00C35D57" w:rsidRDefault="00E0137E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>Understand power system structure and the</w:t>
            </w:r>
            <w:r w:rsidR="00E41383" w:rsidRPr="00C35D57">
              <w:rPr>
                <w:rFonts w:ascii="Arial Narrow" w:eastAsia="Times New Roman" w:hAnsi="Arial Narrow"/>
                <w:bCs/>
                <w:lang w:val="en-GB"/>
              </w:rPr>
              <w:t xml:space="preserve"> distinction between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 renewable and non-renewable energy sources. 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43125C" w:rsidRPr="00C35D57" w:rsidRDefault="00E41383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>Understand global scenario involving energy demand and the need for renewable energy.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</w:tcPr>
          <w:p w:rsidR="0043125C" w:rsidRPr="00C35D57" w:rsidRDefault="00E41383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Explain </w:t>
            </w:r>
            <w:r w:rsidRPr="00240E64">
              <w:rPr>
                <w:rFonts w:ascii="Arial Narrow" w:eastAsia="Times New Roman" w:hAnsi="Arial Narrow"/>
                <w:bCs/>
                <w:lang w:val="en-GB"/>
              </w:rPr>
              <w:t>R</w:t>
            </w:r>
            <w:r>
              <w:rPr>
                <w:rFonts w:ascii="Arial Narrow" w:eastAsia="Times New Roman" w:hAnsi="Arial Narrow"/>
                <w:bCs/>
                <w:lang w:val="en-GB"/>
              </w:rPr>
              <w:t>ES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 technologies: Hydro, Wind, Solar, Biomass and Geothermal.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</w:tcPr>
          <w:p w:rsidR="0043125C" w:rsidRPr="00C35D57" w:rsidRDefault="00C041DD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>C</w:t>
            </w:r>
            <w:r w:rsidR="00E41383" w:rsidRPr="00C35D57">
              <w:rPr>
                <w:rFonts w:ascii="Arial Narrow" w:eastAsia="Times New Roman" w:hAnsi="Arial Narrow"/>
                <w:bCs/>
                <w:lang w:val="en-GB"/>
              </w:rPr>
              <w:t>ompar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>e various</w:t>
            </w:r>
            <w:r w:rsidR="00E41383" w:rsidRPr="00C35D57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E41383" w:rsidRPr="00240E64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="00E41383">
              <w:rPr>
                <w:rFonts w:ascii="Arial Narrow" w:eastAsia="Times New Roman" w:hAnsi="Arial Narrow"/>
                <w:bCs/>
                <w:lang w:val="en-GB"/>
              </w:rPr>
              <w:t>ES</w:t>
            </w:r>
            <w:r w:rsidR="00E41383" w:rsidRPr="00C35D57">
              <w:rPr>
                <w:rFonts w:ascii="Arial Narrow" w:eastAsia="Times New Roman" w:hAnsi="Arial Narrow"/>
                <w:bCs/>
                <w:lang w:val="en-GB"/>
              </w:rPr>
              <w:t xml:space="preserve"> technologies and identify the most suitable technology based on local conditions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</w:tcPr>
          <w:p w:rsidR="0043125C" w:rsidRPr="00C35D57" w:rsidRDefault="00E41383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>Discuss the impo</w:t>
            </w:r>
            <w:r w:rsidR="00C041DD" w:rsidRPr="00C35D57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>tance of sto</w:t>
            </w:r>
            <w:r w:rsidR="00C041DD" w:rsidRPr="00C35D57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age in </w:t>
            </w:r>
            <w:r w:rsidR="00C041DD" w:rsidRPr="00C35D57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>ES and the latest sto</w:t>
            </w:r>
            <w:r w:rsidR="00C041DD" w:rsidRPr="00C35D57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>age techn</w:t>
            </w:r>
            <w:r w:rsidR="00C041DD" w:rsidRPr="00C35D57">
              <w:rPr>
                <w:rFonts w:ascii="Arial Narrow" w:eastAsia="Times New Roman" w:hAnsi="Arial Narrow"/>
                <w:bCs/>
                <w:lang w:val="en-GB"/>
              </w:rPr>
              <w:t>ologies.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0" w:type="dxa"/>
            <w:gridSpan w:val="8"/>
          </w:tcPr>
          <w:p w:rsidR="0043125C" w:rsidRPr="00C35D57" w:rsidRDefault="00E41383" w:rsidP="00C35D5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Understand energy costs including LCOE, LCC etc and 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lastRenderedPageBreak/>
              <w:t xml:space="preserve">describe </w:t>
            </w:r>
            <w:r w:rsidR="007C5DAA" w:rsidRPr="00C35D57">
              <w:rPr>
                <w:rFonts w:ascii="Arial Narrow" w:eastAsia="Times New Roman" w:hAnsi="Arial Narrow"/>
                <w:bCs/>
                <w:lang w:val="en-GB"/>
              </w:rPr>
              <w:t>various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 pricing scheme </w:t>
            </w:r>
            <w:r w:rsidR="00C35D57" w:rsidRPr="00C35D57">
              <w:rPr>
                <w:rFonts w:ascii="Arial Narrow" w:eastAsia="Times New Roman" w:hAnsi="Arial Narrow"/>
                <w:bCs/>
                <w:lang w:val="en-GB"/>
              </w:rPr>
              <w:t>surrounding</w:t>
            </w:r>
            <w:r w:rsidRPr="00C35D57">
              <w:rPr>
                <w:rFonts w:ascii="Arial Narrow" w:eastAsia="Times New Roman" w:hAnsi="Arial Narrow"/>
                <w:bCs/>
                <w:lang w:val="en-GB"/>
              </w:rPr>
              <w:t xml:space="preserve"> RES.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743CE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Symbol of learning outcome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1359A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F16978" w:rsidRDefault="003C32A4" w:rsidP="00F16978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Assignments and test</w:t>
            </w:r>
            <w:r w:rsidR="0043125C" w:rsidRPr="00F16978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F16978" w:rsidRPr="00F16978">
              <w:rPr>
                <w:rFonts w:ascii="Arial Narrow" w:eastAsia="Times New Roman" w:hAnsi="Arial Narrow"/>
                <w:bCs/>
                <w:lang w:val="en-GB"/>
              </w:rPr>
              <w:t>based</w:t>
            </w:r>
            <w:r w:rsidR="0043125C" w:rsidRPr="00F16978">
              <w:rPr>
                <w:rFonts w:ascii="Arial Narrow" w:eastAsia="Times New Roman" w:hAnsi="Arial Narrow"/>
                <w:bCs/>
                <w:lang w:val="en-GB"/>
              </w:rPr>
              <w:t xml:space="preserve"> on the lecture</w:t>
            </w:r>
            <w:r w:rsidR="00F16978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43125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LO6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43125C" w:rsidRPr="0051359A" w:rsidTr="003C32A4">
        <w:trPr>
          <w:trHeight w:val="653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43125C" w:rsidRPr="0051359A" w:rsidTr="003C32A4">
        <w:tc>
          <w:tcPr>
            <w:tcW w:w="1648" w:type="dxa"/>
            <w:vMerge w:val="restart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Class attendance 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Assignments and self-study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Preparation and write </w:t>
            </w:r>
            <w:r w:rsidR="003C32A4">
              <w:rPr>
                <w:rFonts w:ascii="Arial Narrow" w:eastAsia="Times New Roman" w:hAnsi="Arial Narrow"/>
                <w:b/>
                <w:lang w:val="en-GB"/>
              </w:rPr>
              <w:t>tests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75</w:t>
            </w:r>
          </w:p>
        </w:tc>
      </w:tr>
      <w:tr w:rsidR="0043125C" w:rsidRPr="0051359A" w:rsidTr="003C32A4">
        <w:trPr>
          <w:trHeight w:val="13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19" w:type="dxa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43125C" w:rsidRPr="0051359A" w:rsidTr="003C32A4">
        <w:trPr>
          <w:trHeight w:val="44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19" w:type="dxa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55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51359A" w:rsidTr="003C32A4">
        <w:trPr>
          <w:trHeight w:val="461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19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  <w:tc>
          <w:tcPr>
            <w:tcW w:w="1055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414" w:type="dxa"/>
            <w:gridSpan w:val="10"/>
            <w:vAlign w:val="center"/>
          </w:tcPr>
          <w:p w:rsidR="0020639E" w:rsidRPr="0020639E" w:rsidRDefault="0020639E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John </w:t>
            </w:r>
            <w:proofErr w:type="spellStart"/>
            <w:r w:rsidRPr="0020639E">
              <w:rPr>
                <w:rFonts w:ascii="Arial Narrow" w:eastAsia="Times New Roman" w:hAnsi="Arial Narrow"/>
                <w:bCs/>
                <w:lang w:val="en-GB"/>
              </w:rPr>
              <w:t>Twidell</w:t>
            </w:r>
            <w:proofErr w:type="spellEnd"/>
            <w:r>
              <w:rPr>
                <w:rFonts w:ascii="Arial Narrow" w:eastAsia="Times New Roman" w:hAnsi="Arial Narrow"/>
                <w:bCs/>
                <w:lang w:val="en-GB"/>
              </w:rPr>
              <w:t xml:space="preserve"> and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 Tony Weir</w:t>
            </w:r>
            <w:r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 “Renewable Energy Resources”, </w:t>
            </w:r>
            <w:r>
              <w:rPr>
                <w:rFonts w:ascii="Arial Narrow" w:eastAsia="Times New Roman" w:hAnsi="Arial Narrow"/>
                <w:bCs/>
                <w:lang w:val="en-GB"/>
              </w:rPr>
              <w:t>3</w:t>
            </w:r>
            <w:r w:rsidRPr="0020639E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edition, 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Taylor &amp; Francis, 20</w:t>
            </w:r>
            <w:r>
              <w:rPr>
                <w:rFonts w:ascii="Arial Narrow" w:eastAsia="Times New Roman" w:hAnsi="Arial Narrow"/>
                <w:bCs/>
                <w:lang w:val="en-GB"/>
              </w:rPr>
              <w:t>1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5.</w:t>
            </w:r>
          </w:p>
          <w:p w:rsidR="0020639E" w:rsidRPr="0020639E" w:rsidRDefault="0020639E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>Gilbert M. Masters, “Renewable and Efficient Electric Power Systems”,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2</w:t>
            </w:r>
            <w:r w:rsidRPr="0020639E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edition, 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Wiley</w:t>
            </w:r>
            <w:r>
              <w:rPr>
                <w:rFonts w:ascii="Arial Narrow" w:eastAsia="Times New Roman" w:hAnsi="Arial Narrow"/>
                <w:bCs/>
                <w:lang w:val="en-GB"/>
              </w:rPr>
              <w:t>-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IEEE Press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2013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  <w:p w:rsidR="0020639E" w:rsidRDefault="0020639E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>Aldo da Rosa, “Fundamentals of Renewable Energy Processes”, Academic Press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2005.</w:t>
            </w:r>
          </w:p>
          <w:p w:rsidR="009E7EFA" w:rsidRPr="0020639E" w:rsidRDefault="0020639E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Francis M. Vanek, Louis D. Albright, and </w:t>
            </w:r>
            <w:proofErr w:type="spellStart"/>
            <w:r w:rsidRPr="0020639E">
              <w:rPr>
                <w:rFonts w:ascii="Arial Narrow" w:eastAsia="Times New Roman" w:hAnsi="Arial Narrow"/>
                <w:bCs/>
                <w:lang w:val="en-GB"/>
              </w:rPr>
              <w:t>Largus</w:t>
            </w:r>
            <w:proofErr w:type="spellEnd"/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 T. </w:t>
            </w:r>
            <w:proofErr w:type="spellStart"/>
            <w:r w:rsidRPr="0020639E">
              <w:rPr>
                <w:rFonts w:ascii="Arial Narrow" w:eastAsia="Times New Roman" w:hAnsi="Arial Narrow"/>
                <w:bCs/>
                <w:lang w:val="en-GB"/>
              </w:rPr>
              <w:t>Angenent</w:t>
            </w:r>
            <w:proofErr w:type="spellEnd"/>
            <w:r w:rsidRPr="0020639E">
              <w:rPr>
                <w:rFonts w:ascii="Arial Narrow" w:eastAsia="Times New Roman" w:hAnsi="Arial Narrow"/>
                <w:bCs/>
                <w:lang w:val="en-GB"/>
              </w:rPr>
              <w:t>, “Energy Systems Engineering: Evaluation and Implementation”, 3</w:t>
            </w:r>
            <w:r w:rsidRPr="001D5348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rd</w:t>
            </w:r>
            <w:r w:rsidR="001D5348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edition, McGraw Hill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2016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414" w:type="dxa"/>
            <w:gridSpan w:val="10"/>
            <w:vAlign w:val="center"/>
          </w:tcPr>
          <w:p w:rsidR="0020639E" w:rsidRPr="004A4A6D" w:rsidRDefault="0020639E" w:rsidP="004A4A6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>Bent Sorensen, “</w:t>
            </w:r>
            <w:r w:rsidR="004A4A6D" w:rsidRPr="004A4A6D">
              <w:rPr>
                <w:rFonts w:ascii="Arial Narrow" w:eastAsia="Times New Roman" w:hAnsi="Arial Narrow"/>
                <w:bCs/>
                <w:lang w:val="en-GB"/>
              </w:rPr>
              <w:t>Renewable Energy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 xml:space="preserve">: </w:t>
            </w:r>
            <w:r w:rsidR="004A4A6D" w:rsidRPr="004A4A6D">
              <w:rPr>
                <w:rFonts w:ascii="Arial Narrow" w:eastAsia="Times New Roman" w:hAnsi="Arial Narrow"/>
                <w:bCs/>
                <w:lang w:val="en-GB"/>
              </w:rPr>
              <w:t>Physics, Engineering, Environmental Impacts, Economics and Planning</w:t>
            </w:r>
            <w:r w:rsidRPr="004A4A6D">
              <w:rPr>
                <w:rFonts w:ascii="Arial Narrow" w:eastAsia="Times New Roman" w:hAnsi="Arial Narrow"/>
                <w:bCs/>
                <w:lang w:val="en-GB"/>
              </w:rPr>
              <w:t>”,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 xml:space="preserve"> 5</w:t>
            </w:r>
            <w:r w:rsidR="004A4A6D" w:rsidRPr="004A4A6D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th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 xml:space="preserve"> Edition, </w:t>
            </w:r>
            <w:r w:rsidRPr="004A4A6D">
              <w:rPr>
                <w:rFonts w:ascii="Arial Narrow" w:eastAsia="Times New Roman" w:hAnsi="Arial Narrow"/>
                <w:bCs/>
                <w:lang w:val="en-GB"/>
              </w:rPr>
              <w:t>Elsevier Academic Press, 20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>17</w:t>
            </w:r>
            <w:r w:rsidRPr="004A4A6D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  <w:p w:rsidR="0020639E" w:rsidRPr="0020639E" w:rsidRDefault="0020639E" w:rsidP="0020639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 xml:space="preserve">B.K. Hodge, “Alternative Energy Systems &amp; Applications”, 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>2</w:t>
            </w:r>
            <w:r w:rsidR="004A4A6D" w:rsidRPr="004A4A6D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nd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 xml:space="preserve"> edition, 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Wiley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>, 2017.</w:t>
            </w:r>
          </w:p>
          <w:p w:rsidR="0043125C" w:rsidRPr="0020639E" w:rsidRDefault="0020639E" w:rsidP="0020639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20639E">
              <w:rPr>
                <w:rFonts w:ascii="Arial Narrow" w:eastAsia="Times New Roman" w:hAnsi="Arial Narrow"/>
                <w:bCs/>
                <w:lang w:val="en-GB"/>
              </w:rPr>
              <w:t>Godfrey Boyle, “Renewable Energy: Power for a Sustainable Future”, 3</w:t>
            </w:r>
            <w:r w:rsidRPr="004A4A6D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rd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edition, Oxford University Press</w:t>
            </w:r>
            <w:r w:rsidR="004A4A6D">
              <w:rPr>
                <w:rFonts w:ascii="Arial Narrow" w:eastAsia="Times New Roman" w:hAnsi="Arial Narrow"/>
                <w:bCs/>
                <w:lang w:val="en-GB"/>
              </w:rPr>
              <w:t>, 2012</w:t>
            </w:r>
            <w:r w:rsidRPr="0020639E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43125C" w:rsidRPr="00C743CE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Department of Electrotechnics, Power Electronics </w:t>
            </w:r>
            <w:r w:rsidR="00090DD4">
              <w:rPr>
                <w:rFonts w:ascii="Arial Narrow" w:eastAsia="Times New Roman" w:hAnsi="Arial Narrow"/>
                <w:b/>
                <w:lang w:val="en-GB"/>
              </w:rPr>
              <w:br/>
            </w:r>
            <w:r>
              <w:rPr>
                <w:rFonts w:ascii="Arial Narrow" w:eastAsia="Times New Roman" w:hAnsi="Arial Narrow"/>
                <w:b/>
                <w:lang w:val="en-GB"/>
              </w:rPr>
              <w:t>and Power Engineering</w:t>
            </w:r>
          </w:p>
        </w:tc>
        <w:tc>
          <w:tcPr>
            <w:tcW w:w="2074" w:type="dxa"/>
            <w:gridSpan w:val="2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43125C" w:rsidRPr="0051359A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Andu Dukpa, PhD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767223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</w:t>
            </w:r>
            <w:r w:rsidR="004F5839"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.202</w:t>
            </w:r>
            <w:r w:rsidR="004F5839"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Default="0051359A" w:rsidP="00533B5E">
      <w:pPr>
        <w:spacing w:after="160" w:line="276" w:lineRule="auto"/>
        <w:ind w:left="-112" w:right="-288" w:firstLine="0"/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bookmarkEnd w:id="0"/>
    </w:p>
    <w:sectPr w:rsidR="0051359A" w:rsidSect="00AC6E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8CE"/>
    <w:multiLevelType w:val="hybridMultilevel"/>
    <w:tmpl w:val="4DF8B7A2"/>
    <w:lvl w:ilvl="0" w:tplc="6DE2F0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D5E60F9"/>
    <w:multiLevelType w:val="hybridMultilevel"/>
    <w:tmpl w:val="49A24ACC"/>
    <w:lvl w:ilvl="0" w:tplc="7DA82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DAA"/>
    <w:multiLevelType w:val="hybridMultilevel"/>
    <w:tmpl w:val="C5F4AF16"/>
    <w:lvl w:ilvl="0" w:tplc="C7FE0A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43929"/>
    <w:multiLevelType w:val="hybridMultilevel"/>
    <w:tmpl w:val="650E37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2808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7D47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406B9"/>
    <w:rsid w:val="000002C5"/>
    <w:rsid w:val="000204D5"/>
    <w:rsid w:val="000272F5"/>
    <w:rsid w:val="00072154"/>
    <w:rsid w:val="00090DD4"/>
    <w:rsid w:val="000A2058"/>
    <w:rsid w:val="000B28EB"/>
    <w:rsid w:val="001131D0"/>
    <w:rsid w:val="0014438F"/>
    <w:rsid w:val="00184E8A"/>
    <w:rsid w:val="00195A4C"/>
    <w:rsid w:val="001D5348"/>
    <w:rsid w:val="0020639E"/>
    <w:rsid w:val="00222AFD"/>
    <w:rsid w:val="00240E64"/>
    <w:rsid w:val="0028693C"/>
    <w:rsid w:val="00324632"/>
    <w:rsid w:val="00362F4D"/>
    <w:rsid w:val="003C32A4"/>
    <w:rsid w:val="003E11F0"/>
    <w:rsid w:val="003E15A8"/>
    <w:rsid w:val="0043125C"/>
    <w:rsid w:val="004426DF"/>
    <w:rsid w:val="004A4A6D"/>
    <w:rsid w:val="004A61A1"/>
    <w:rsid w:val="004F5839"/>
    <w:rsid w:val="0051359A"/>
    <w:rsid w:val="00532523"/>
    <w:rsid w:val="00533B5E"/>
    <w:rsid w:val="00550692"/>
    <w:rsid w:val="00582B8A"/>
    <w:rsid w:val="005B63BD"/>
    <w:rsid w:val="006A3101"/>
    <w:rsid w:val="006E2BB5"/>
    <w:rsid w:val="00767223"/>
    <w:rsid w:val="00774DF5"/>
    <w:rsid w:val="007C5DAA"/>
    <w:rsid w:val="007E3B5B"/>
    <w:rsid w:val="00835EBD"/>
    <w:rsid w:val="00860C71"/>
    <w:rsid w:val="00871729"/>
    <w:rsid w:val="008B1944"/>
    <w:rsid w:val="008D5BF6"/>
    <w:rsid w:val="00925EF7"/>
    <w:rsid w:val="00990DB5"/>
    <w:rsid w:val="009D3B60"/>
    <w:rsid w:val="009E7EFA"/>
    <w:rsid w:val="00A27A38"/>
    <w:rsid w:val="00A87F21"/>
    <w:rsid w:val="00AC6E8F"/>
    <w:rsid w:val="00B06D8D"/>
    <w:rsid w:val="00B406B9"/>
    <w:rsid w:val="00B82F63"/>
    <w:rsid w:val="00BC47C5"/>
    <w:rsid w:val="00BE2371"/>
    <w:rsid w:val="00C041DD"/>
    <w:rsid w:val="00C35D57"/>
    <w:rsid w:val="00C43228"/>
    <w:rsid w:val="00C57E77"/>
    <w:rsid w:val="00C63A88"/>
    <w:rsid w:val="00C743CE"/>
    <w:rsid w:val="00CD0DFD"/>
    <w:rsid w:val="00D301DA"/>
    <w:rsid w:val="00D71FCE"/>
    <w:rsid w:val="00DD1279"/>
    <w:rsid w:val="00E00744"/>
    <w:rsid w:val="00E0137E"/>
    <w:rsid w:val="00E41383"/>
    <w:rsid w:val="00F16978"/>
    <w:rsid w:val="00F4217F"/>
    <w:rsid w:val="00FC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18</cp:revision>
  <cp:lastPrinted>2019-01-21T11:00:00Z</cp:lastPrinted>
  <dcterms:created xsi:type="dcterms:W3CDTF">2021-05-14T06:53:00Z</dcterms:created>
  <dcterms:modified xsi:type="dcterms:W3CDTF">2022-03-23T12:17:00Z</dcterms:modified>
</cp:coreProperties>
</file>