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700"/>
        <w:gridCol w:w="700"/>
        <w:gridCol w:w="700"/>
        <w:gridCol w:w="700"/>
        <w:gridCol w:w="700"/>
        <w:gridCol w:w="700"/>
        <w:gridCol w:w="700"/>
        <w:gridCol w:w="1380"/>
        <w:gridCol w:w="960"/>
        <w:gridCol w:w="760"/>
      </w:tblGrid>
      <w:tr w:rsidR="00653EA5" w:rsidRPr="00653EA5" w14:paraId="4F247888" w14:textId="77777777" w:rsidTr="00251191">
        <w:trPr>
          <w:trHeight w:val="28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8CF1" w14:textId="77777777" w:rsidR="00653EA5" w:rsidRPr="00653EA5" w:rsidRDefault="00653EA5" w:rsidP="00653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C24E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27C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0B79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CE10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22FE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2252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Załącznik nr 2 do Zarządzenia Nr 915 z 2019 r. Rektora PB</w:t>
            </w:r>
          </w:p>
        </w:tc>
      </w:tr>
      <w:tr w:rsidR="00653EA5" w:rsidRPr="00653EA5" w14:paraId="41D9C87C" w14:textId="77777777" w:rsidTr="00251191">
        <w:trPr>
          <w:trHeight w:val="28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E3F4" w14:textId="77777777" w:rsidR="00653EA5" w:rsidRPr="00653EA5" w:rsidRDefault="00653EA5" w:rsidP="00653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ECB7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9F6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10C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96A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1276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3BEB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745F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3DB9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BA8D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6C9E" w14:textId="77777777" w:rsidR="00653EA5" w:rsidRPr="00653EA5" w:rsidRDefault="00653EA5" w:rsidP="00653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53EA5" w:rsidRPr="00653EA5" w14:paraId="5C78A21B" w14:textId="77777777" w:rsidTr="00251191">
        <w:trPr>
          <w:trHeight w:val="288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03C7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D51D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A1FC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2255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C01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 DESCRIPTION CARD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13E3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B6EB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2BD8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3EA5" w:rsidRPr="00653EA5" w14:paraId="5E73124A" w14:textId="77777777" w:rsidTr="00251191">
        <w:trPr>
          <w:trHeight w:val="30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DF32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3E87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B82F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8F5B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7D4F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514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40E3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2F62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A87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3D57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F118" w14:textId="77777777" w:rsidR="00653EA5" w:rsidRPr="00653EA5" w:rsidRDefault="00653EA5" w:rsidP="00653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3EA5" w:rsidRPr="00653EA5" w14:paraId="0C430FB1" w14:textId="77777777" w:rsidTr="00251191">
        <w:trPr>
          <w:trHeight w:val="300"/>
        </w:trPr>
        <w:tc>
          <w:tcPr>
            <w:tcW w:w="94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1825C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Faculty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Electrical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Engineering</w:t>
            </w:r>
          </w:p>
        </w:tc>
      </w:tr>
      <w:tr w:rsidR="00653EA5" w:rsidRPr="00653EA5" w14:paraId="0D1FE412" w14:textId="77777777" w:rsidTr="00251191">
        <w:trPr>
          <w:trHeight w:val="1116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BDADFB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Field of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study</w:t>
            </w:r>
            <w:proofErr w:type="spellEnd"/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81DE6" w14:textId="77777777" w:rsidR="00653EA5" w:rsidRPr="00653EA5" w:rsidRDefault="00653EA5" w:rsidP="00062A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Electr</w:t>
            </w:r>
            <w:r w:rsidR="00251191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ical and </w:t>
            </w:r>
            <w:r w:rsidR="00062A3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</w:t>
            </w:r>
            <w:r w:rsidR="00251191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lectronics Engineering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2FBE5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Degree level and programme type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716BC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Bachelor's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degree</w:t>
            </w:r>
            <w:proofErr w:type="spellEnd"/>
          </w:p>
        </w:tc>
      </w:tr>
      <w:tr w:rsidR="00653EA5" w:rsidRPr="00653EA5" w14:paraId="2EDBA174" w14:textId="77777777" w:rsidTr="00251191">
        <w:trPr>
          <w:trHeight w:val="76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7D3BB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Specialization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/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diploma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path</w:t>
            </w:r>
            <w:proofErr w:type="spellEnd"/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99A27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67C6F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4B9180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Study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profile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19B259" w14:textId="77777777" w:rsidR="00653EA5" w:rsidRPr="00653EA5" w:rsidRDefault="00367C6F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-</w:t>
            </w:r>
            <w:r w:rsidR="00653EA5"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53EA5" w:rsidRPr="00653EA5" w14:paraId="072B558F" w14:textId="77777777" w:rsidTr="00251191">
        <w:trPr>
          <w:trHeight w:val="564"/>
        </w:trPr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CD9D8F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Course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name</w:t>
            </w:r>
            <w:proofErr w:type="spellEnd"/>
          </w:p>
        </w:tc>
        <w:tc>
          <w:tcPr>
            <w:tcW w:w="49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24D30" w14:textId="77777777" w:rsidR="00653EA5" w:rsidRPr="00653EA5" w:rsidRDefault="00367C6F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Computational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</w:t>
            </w:r>
            <w:r w:rsidR="00653EA5"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lectromagnetics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F82D44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Course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code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ED42DF" w14:textId="77777777" w:rsidR="00653EA5" w:rsidRPr="00653EA5" w:rsidRDefault="00251191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IS-FEE-10045S</w:t>
            </w:r>
            <w:r w:rsidR="00653EA5"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53EA5" w:rsidRPr="00653EA5" w14:paraId="13041C38" w14:textId="77777777" w:rsidTr="00251191">
        <w:trPr>
          <w:trHeight w:val="564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DFBD5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2ECA7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AD8715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Course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type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23DDE2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elective</w:t>
            </w:r>
            <w:proofErr w:type="spellEnd"/>
          </w:p>
        </w:tc>
      </w:tr>
      <w:tr w:rsidR="00653EA5" w:rsidRPr="00653EA5" w14:paraId="6437D87D" w14:textId="77777777" w:rsidTr="00251191">
        <w:trPr>
          <w:trHeight w:val="300"/>
        </w:trPr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BB403A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Forms and number of hours of tuition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9BA72B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68FC02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98950B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9AA94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5DD4C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B9908A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FW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EAF6B1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06C82F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Semester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A6B6C" w14:textId="77777777" w:rsidR="00653EA5" w:rsidRPr="00653EA5" w:rsidRDefault="00251191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summer</w:t>
            </w:r>
            <w:proofErr w:type="spellEnd"/>
          </w:p>
        </w:tc>
      </w:tr>
      <w:tr w:rsidR="00653EA5" w:rsidRPr="00653EA5" w14:paraId="26CDF400" w14:textId="77777777" w:rsidTr="00251191">
        <w:trPr>
          <w:trHeight w:val="84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90D79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6C189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71CB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6E75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6621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E1D9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FE00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61A5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DE7638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ECTS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credits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A15AA" w14:textId="77777777" w:rsidR="00653EA5" w:rsidRPr="00653EA5" w:rsidRDefault="00251191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653EA5" w:rsidRPr="00653EA5" w14:paraId="2B0308F8" w14:textId="77777777" w:rsidTr="00251191">
        <w:trPr>
          <w:trHeight w:val="609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16644A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Entry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requirements</w:t>
            </w:r>
            <w:proofErr w:type="spellEnd"/>
          </w:p>
        </w:tc>
        <w:tc>
          <w:tcPr>
            <w:tcW w:w="8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23EE0" w14:textId="77777777" w:rsidR="00653EA5" w:rsidRPr="00653EA5" w:rsidRDefault="00367C6F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-</w:t>
            </w:r>
            <w:r w:rsidR="00653EA5"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653EA5" w:rsidRPr="00AE0874" w14:paraId="738339F3" w14:textId="77777777" w:rsidTr="00251191">
        <w:trPr>
          <w:trHeight w:val="56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7BD3A8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Course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objectives</w:t>
            </w:r>
            <w:proofErr w:type="spellEnd"/>
          </w:p>
        </w:tc>
        <w:tc>
          <w:tcPr>
            <w:tcW w:w="8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3AB65" w14:textId="77777777" w:rsidR="00653EA5" w:rsidRPr="00251191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</w:pP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Description of widely used CAD methods for engineering problems dealing with the electromagnetic field: finite element method and finite difference method. Applications of these methods to electromagnetic issues (static models, low and high frequency).</w:t>
            </w:r>
          </w:p>
        </w:tc>
      </w:tr>
      <w:tr w:rsidR="00653EA5" w:rsidRPr="00251191" w14:paraId="515E3794" w14:textId="77777777" w:rsidTr="00251191">
        <w:trPr>
          <w:trHeight w:val="509"/>
        </w:trPr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530D93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Course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content</w:t>
            </w:r>
            <w:proofErr w:type="spellEnd"/>
          </w:p>
        </w:tc>
        <w:tc>
          <w:tcPr>
            <w:tcW w:w="80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4BA48" w14:textId="77777777" w:rsidR="00DE689E" w:rsidRPr="00DE689E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u w:val="single"/>
                <w:lang w:val="de-CH" w:eastAsia="pl-PL"/>
              </w:rPr>
            </w:pPr>
            <w:proofErr w:type="spellStart"/>
            <w:r w:rsidRPr="00DE689E">
              <w:rPr>
                <w:rFonts w:ascii="Arial Narrow" w:eastAsia="Times New Roman" w:hAnsi="Arial Narrow" w:cs="Times New Roman"/>
                <w:color w:val="000000" w:themeColor="text1"/>
                <w:u w:val="single"/>
                <w:lang w:val="de-CH" w:eastAsia="pl-PL"/>
              </w:rPr>
              <w:t>Lecture</w:t>
            </w:r>
            <w:proofErr w:type="spellEnd"/>
            <w:r w:rsidRPr="00DE689E">
              <w:rPr>
                <w:rFonts w:ascii="Arial Narrow" w:eastAsia="Times New Roman" w:hAnsi="Arial Narrow" w:cs="Times New Roman"/>
                <w:color w:val="000000" w:themeColor="text1"/>
                <w:u w:val="single"/>
                <w:lang w:val="de-CH" w:eastAsia="pl-PL"/>
              </w:rPr>
              <w:t xml:space="preserve">: </w:t>
            </w:r>
            <w:r w:rsidR="00251191" w:rsidRPr="00DE689E">
              <w:rPr>
                <w:rFonts w:ascii="Arial Narrow" w:eastAsia="Times New Roman" w:hAnsi="Arial Narrow" w:cs="Times New Roman"/>
                <w:color w:val="000000" w:themeColor="text1"/>
                <w:u w:val="single"/>
                <w:lang w:val="de-CH" w:eastAsia="pl-PL"/>
              </w:rPr>
              <w:t xml:space="preserve"> </w:t>
            </w:r>
          </w:p>
          <w:p w14:paraId="7CF49470" w14:textId="4DEF8506" w:rsidR="00DE689E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</w:pP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Partial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differencial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equations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: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classification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,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method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solution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  <w:r w:rsidR="00251191"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proofErr w:type="gram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Physical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model</w:t>
            </w:r>
            <w:proofErr w:type="spellEnd"/>
            <w:proofErr w:type="gram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vs. mathematical  model. Analytical solution vs. simulation. Modeling and </w:t>
            </w:r>
            <w:proofErr w:type="spellStart"/>
            <w:r w:rsidR="00DE689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</w:t>
            </w: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imulation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="00DE689E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</w:t>
            </w: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ycle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,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modeling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methodology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1D, 2D, 3D modeling. Time domain vs. time harmonic analysis. Narrowband vs. wideband analysis. 2D Mixed-Mode Modeling. Explicit vs.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implicite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methods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.</w:t>
            </w:r>
            <w:r w:rsidR="00251191"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Models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materials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in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computational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electromagnetics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.</w:t>
            </w:r>
            <w:r w:rsidR="00251191"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Finite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element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method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: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weak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form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, classification of the elements, test functions. Local and global formulation. </w:t>
            </w:r>
            <w:r w:rsidR="00251191"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Declaration and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physical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interpretation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of the boundary conditions. Perfectly Matched Layer conditions. Methods of adaptive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meshing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Parametrization of the models.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Coupled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analysis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phenomena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. </w:t>
            </w:r>
          </w:p>
          <w:p w14:paraId="7DF4FEC2" w14:textId="3ADE4B1E" w:rsidR="00DE689E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</w:pP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Finite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difference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calculus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: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differentia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quotiens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,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differencing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,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discretization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the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domain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,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spatial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difference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operators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,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implicit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formulas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.</w:t>
            </w:r>
            <w:r w:rsidR="00251191"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br/>
            </w:r>
            <w:proofErr w:type="spellStart"/>
            <w:r w:rsidRPr="00DE689E">
              <w:rPr>
                <w:rFonts w:ascii="Arial Narrow" w:eastAsia="Times New Roman" w:hAnsi="Arial Narrow" w:cs="Times New Roman"/>
                <w:color w:val="000000" w:themeColor="text1"/>
                <w:u w:val="single"/>
                <w:lang w:val="de-CH" w:eastAsia="pl-PL"/>
              </w:rPr>
              <w:t>Specialization</w:t>
            </w:r>
            <w:proofErr w:type="spellEnd"/>
            <w:r w:rsidRPr="00DE689E">
              <w:rPr>
                <w:rFonts w:ascii="Arial Narrow" w:eastAsia="Times New Roman" w:hAnsi="Arial Narrow" w:cs="Times New Roman"/>
                <w:color w:val="000000" w:themeColor="text1"/>
                <w:u w:val="single"/>
                <w:lang w:val="de-CH" w:eastAsia="pl-PL"/>
              </w:rPr>
              <w:t xml:space="preserve"> </w:t>
            </w:r>
            <w:proofErr w:type="spellStart"/>
            <w:r w:rsidRPr="00DE689E">
              <w:rPr>
                <w:rFonts w:ascii="Arial Narrow" w:eastAsia="Times New Roman" w:hAnsi="Arial Narrow" w:cs="Times New Roman"/>
                <w:color w:val="000000" w:themeColor="text1"/>
                <w:u w:val="single"/>
                <w:lang w:val="de-CH" w:eastAsia="pl-PL"/>
              </w:rPr>
              <w:t>workshop</w:t>
            </w:r>
            <w:proofErr w:type="spellEnd"/>
            <w:r w:rsidRPr="00DE689E">
              <w:rPr>
                <w:rFonts w:ascii="Arial Narrow" w:eastAsia="Times New Roman" w:hAnsi="Arial Narrow" w:cs="Times New Roman"/>
                <w:color w:val="000000" w:themeColor="text1"/>
                <w:u w:val="single"/>
                <w:lang w:val="de-CH" w:eastAsia="pl-PL"/>
              </w:rPr>
              <w:t xml:space="preserve">: </w:t>
            </w:r>
            <w:r w:rsidR="00251191" w:rsidRPr="00DE689E">
              <w:rPr>
                <w:rFonts w:ascii="Arial Narrow" w:eastAsia="Times New Roman" w:hAnsi="Arial Narrow" w:cs="Times New Roman"/>
                <w:color w:val="000000" w:themeColor="text1"/>
                <w:u w:val="single"/>
                <w:lang w:val="de-CH" w:eastAsia="pl-PL"/>
              </w:rPr>
              <w:t xml:space="preserve"> </w:t>
            </w:r>
          </w:p>
          <w:p w14:paraId="693C8243" w14:textId="23AB4EA6" w:rsidR="00653EA5" w:rsidRPr="00251191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val="en-US" w:eastAsia="pl-PL"/>
              </w:rPr>
            </w:pP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Solution and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analysis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of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some</w:t>
            </w:r>
            <w:proofErr w:type="spellEnd"/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 xml:space="preserve"> EM phenomena issues using FEM and FDM methods. </w:t>
            </w: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en-US" w:eastAsia="pl-PL"/>
              </w:rPr>
              <w:t>The specialized software will be implemented.</w:t>
            </w:r>
          </w:p>
        </w:tc>
      </w:tr>
      <w:tr w:rsidR="00653EA5" w:rsidRPr="00251191" w14:paraId="5A8FF73C" w14:textId="77777777" w:rsidTr="00251191">
        <w:trPr>
          <w:trHeight w:val="509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7108B" w14:textId="77777777" w:rsidR="00653EA5" w:rsidRPr="00251191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0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926DED" w14:textId="77777777" w:rsidR="00653EA5" w:rsidRPr="00251191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val="en-US" w:eastAsia="pl-PL"/>
              </w:rPr>
            </w:pPr>
          </w:p>
        </w:tc>
      </w:tr>
      <w:tr w:rsidR="00653EA5" w:rsidRPr="00251191" w14:paraId="68E9CF19" w14:textId="77777777" w:rsidTr="00251191">
        <w:trPr>
          <w:trHeight w:val="509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CA657" w14:textId="77777777" w:rsidR="00653EA5" w:rsidRPr="00251191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80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646DF" w14:textId="77777777" w:rsidR="00653EA5" w:rsidRPr="00251191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lang w:val="en-US" w:eastAsia="pl-PL"/>
              </w:rPr>
            </w:pPr>
          </w:p>
        </w:tc>
      </w:tr>
      <w:tr w:rsidR="00653EA5" w:rsidRPr="00AE0874" w14:paraId="73882673" w14:textId="77777777" w:rsidTr="00251191">
        <w:trPr>
          <w:trHeight w:val="56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BAD61C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Teaching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methods</w:t>
            </w:r>
            <w:proofErr w:type="spellEnd"/>
          </w:p>
        </w:tc>
        <w:tc>
          <w:tcPr>
            <w:tcW w:w="8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4DCD1" w14:textId="77777777" w:rsidR="00653EA5" w:rsidRPr="00251191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</w:pPr>
            <w:r w:rsidRPr="00251191">
              <w:rPr>
                <w:rFonts w:ascii="Arial Narrow" w:eastAsia="Times New Roman" w:hAnsi="Arial Narrow" w:cs="Times New Roman"/>
                <w:color w:val="000000" w:themeColor="text1"/>
                <w:lang w:val="de-CH" w:eastAsia="pl-PL"/>
              </w:rPr>
              <w:t>understands and explains the principles of computer aided modelling usind FEM and FD schmes</w:t>
            </w:r>
          </w:p>
        </w:tc>
      </w:tr>
      <w:tr w:rsidR="00653EA5" w:rsidRPr="00653EA5" w14:paraId="3765F9EA" w14:textId="77777777" w:rsidTr="00251191">
        <w:trPr>
          <w:trHeight w:val="56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37F287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Assessment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method</w:t>
            </w:r>
            <w:proofErr w:type="spellEnd"/>
          </w:p>
        </w:tc>
        <w:tc>
          <w:tcPr>
            <w:tcW w:w="8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FFC7D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Lecture - final written test (at least 50% of points are necessary to pass).</w:t>
            </w: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br/>
            </w: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Workshop -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written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reports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and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tests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.</w:t>
            </w:r>
          </w:p>
        </w:tc>
      </w:tr>
      <w:tr w:rsidR="00653EA5" w:rsidRPr="00AE0874" w14:paraId="60AD83A8" w14:textId="77777777" w:rsidTr="00251191">
        <w:trPr>
          <w:trHeight w:val="84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3149D2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Symbol of learning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3E9D688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Learning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outcomes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CD7DFB1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Reference to the learning outcomes for the field of study</w:t>
            </w:r>
          </w:p>
        </w:tc>
      </w:tr>
      <w:tr w:rsidR="00653EA5" w:rsidRPr="00AE0874" w14:paraId="63F5B91A" w14:textId="77777777" w:rsidTr="00251191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A0B59F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7CB0" w14:textId="77777777" w:rsidR="00653EA5" w:rsidRPr="00653EA5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understands and explains the principles of computer aided modelling usind FEM and FD schmes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04361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653EA5" w:rsidRPr="00AE0874" w14:paraId="7024553A" w14:textId="77777777" w:rsidTr="00251191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CB049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D09FF" w14:textId="77777777" w:rsidR="00653EA5" w:rsidRPr="00653EA5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is able to construct the proper model of EM phenomena using FEM and FD methods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56B5A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653EA5" w:rsidRPr="00AE0874" w14:paraId="6F186985" w14:textId="77777777" w:rsidTr="00251191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E683BD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LO3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B243" w14:textId="77777777" w:rsidR="00653EA5" w:rsidRPr="00653EA5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is able to interpret and assess the results of computations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BB4EB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653EA5" w:rsidRPr="00AE0874" w14:paraId="4EBE5027" w14:textId="77777777" w:rsidTr="00251191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94FE77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LO4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F2EB7A" w14:textId="77777777" w:rsidR="00653EA5" w:rsidRPr="00653EA5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can prepare an advanced numerical model of the EM problem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095C4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653EA5" w:rsidRPr="00AE0874" w14:paraId="63EA11D7" w14:textId="77777777" w:rsidTr="00251191">
        <w:trPr>
          <w:trHeight w:val="84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15BABC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Symbol of learning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</w:t>
            </w:r>
            <w:proofErr w:type="spellEnd"/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AA9C4F2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Methods of assessing the learning outcomes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DF53B21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Type of tuition during which the outcome is assessed</w:t>
            </w:r>
          </w:p>
        </w:tc>
      </w:tr>
      <w:tr w:rsidR="00653EA5" w:rsidRPr="00653EA5" w14:paraId="6B0D72EF" w14:textId="77777777" w:rsidTr="00251191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BB4F6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2FF23" w14:textId="77777777" w:rsidR="00653EA5" w:rsidRPr="00653EA5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evaluation of students’ reports and written tests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2A2D4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L, SW</w:t>
            </w:r>
          </w:p>
        </w:tc>
      </w:tr>
      <w:tr w:rsidR="00653EA5" w:rsidRPr="00653EA5" w14:paraId="657AEA19" w14:textId="77777777" w:rsidTr="00251191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FF2572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C7289" w14:textId="77777777" w:rsidR="00653EA5" w:rsidRPr="00653EA5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evaluation of students’ reports and written tests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2CFC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L, SW</w:t>
            </w:r>
          </w:p>
        </w:tc>
      </w:tr>
      <w:tr w:rsidR="00653EA5" w:rsidRPr="00653EA5" w14:paraId="676FA743" w14:textId="77777777" w:rsidTr="00251191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73C03C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LO3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2A100" w14:textId="77777777" w:rsidR="00653EA5" w:rsidRPr="00653EA5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evaluation of students’ reports and written tests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769B8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L, SW</w:t>
            </w:r>
          </w:p>
        </w:tc>
      </w:tr>
      <w:tr w:rsidR="00653EA5" w:rsidRPr="00653EA5" w14:paraId="63A6420A" w14:textId="77777777" w:rsidTr="00251191">
        <w:trPr>
          <w:trHeight w:val="30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709313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LO4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22A9" w14:textId="77777777" w:rsidR="00653EA5" w:rsidRPr="00653EA5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evaluation of students’ reports and written tests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9704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L, SW</w:t>
            </w:r>
          </w:p>
        </w:tc>
      </w:tr>
      <w:tr w:rsidR="00653EA5" w:rsidRPr="00653EA5" w14:paraId="0F436BEC" w14:textId="77777777" w:rsidTr="00251191">
        <w:trPr>
          <w:trHeight w:val="300"/>
        </w:trPr>
        <w:tc>
          <w:tcPr>
            <w:tcW w:w="77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C407470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Student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workload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(in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FBFE1BA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  <w:proofErr w:type="spellEnd"/>
          </w:p>
        </w:tc>
      </w:tr>
      <w:tr w:rsidR="00653EA5" w:rsidRPr="00653EA5" w14:paraId="74B671C2" w14:textId="77777777" w:rsidTr="00251191">
        <w:trPr>
          <w:trHeight w:val="300"/>
        </w:trPr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8FFDEC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Calculation</w:t>
            </w:r>
            <w:proofErr w:type="spellEnd"/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D21A0" w14:textId="77777777" w:rsidR="00653EA5" w:rsidRPr="00251191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proofErr w:type="spell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Lecture</w:t>
            </w:r>
            <w:proofErr w:type="spell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attendance</w:t>
            </w:r>
            <w:proofErr w:type="spell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: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FB744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653EA5" w:rsidRPr="00653EA5" w14:paraId="5EA0FC8B" w14:textId="77777777" w:rsidTr="00251191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71950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D306" w14:textId="77777777" w:rsidR="00653EA5" w:rsidRPr="00251191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proofErr w:type="spell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Preparation</w:t>
            </w:r>
            <w:proofErr w:type="spell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 for </w:t>
            </w:r>
            <w:proofErr w:type="spell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workshops</w:t>
            </w:r>
            <w:proofErr w:type="spell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: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67986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653EA5" w:rsidRPr="00653EA5" w14:paraId="6E318E86" w14:textId="77777777" w:rsidTr="00251191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54BCB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988C8" w14:textId="77777777" w:rsidR="00653EA5" w:rsidRPr="00251191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proofErr w:type="spell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Participation</w:t>
            </w:r>
            <w:proofErr w:type="spell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 in </w:t>
            </w:r>
            <w:proofErr w:type="spell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workshops</w:t>
            </w:r>
            <w:proofErr w:type="spell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: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138EB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653EA5" w:rsidRPr="00653EA5" w14:paraId="20387D83" w14:textId="77777777" w:rsidTr="00251191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58DF5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3E3C4" w14:textId="77777777" w:rsidR="00653EA5" w:rsidRPr="00251191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</w:pP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Work on reports from workshop classes and/or work on home assignments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C878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653EA5" w:rsidRPr="00653EA5" w14:paraId="7CEB36AF" w14:textId="77777777" w:rsidTr="00251191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3BCDE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165EC" w14:textId="77777777" w:rsidR="00653EA5" w:rsidRPr="00251191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</w:pP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Participation in student-teacher sessions related to lectures and workshops: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FB6F9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653EA5" w:rsidRPr="00653EA5" w14:paraId="6EA19EEB" w14:textId="77777777" w:rsidTr="00251191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DDBAC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13850" w14:textId="77777777" w:rsidR="00653EA5" w:rsidRPr="00251191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</w:pP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Preparation for and attendance at the final test from lectures: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A454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  <w:tr w:rsidR="00653EA5" w:rsidRPr="00653EA5" w14:paraId="773D29E2" w14:textId="77777777" w:rsidTr="00251191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A988E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B4ABD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F159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53EA5" w:rsidRPr="00653EA5" w14:paraId="04654116" w14:textId="77777777" w:rsidTr="00251191">
        <w:trPr>
          <w:trHeight w:val="300"/>
        </w:trPr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CBAFE" w14:textId="77777777" w:rsidR="00653EA5" w:rsidRPr="00653EA5" w:rsidRDefault="00653EA5" w:rsidP="00653E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1E475D" w14:textId="77777777" w:rsidR="00653EA5" w:rsidRPr="00653EA5" w:rsidRDefault="00653EA5" w:rsidP="00653E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TOTAL: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49141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60</w:t>
            </w:r>
          </w:p>
        </w:tc>
      </w:tr>
      <w:tr w:rsidR="00653EA5" w:rsidRPr="00653EA5" w14:paraId="73C601CB" w14:textId="77777777" w:rsidTr="00251191">
        <w:trPr>
          <w:trHeight w:val="840"/>
        </w:trPr>
        <w:tc>
          <w:tcPr>
            <w:tcW w:w="77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B7E8DA2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Quantitative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indicators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14:paraId="010C52E0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D418BE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ECTS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credits</w:t>
            </w:r>
            <w:proofErr w:type="spellEnd"/>
          </w:p>
        </w:tc>
      </w:tr>
      <w:tr w:rsidR="00653EA5" w:rsidRPr="00653EA5" w14:paraId="08A50F49" w14:textId="77777777" w:rsidTr="00251191">
        <w:trPr>
          <w:trHeight w:val="300"/>
        </w:trPr>
        <w:tc>
          <w:tcPr>
            <w:tcW w:w="77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E3FCD13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Student workload – activities that require direct teacher participation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FCFD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3A64" w14:textId="77777777" w:rsidR="00653EA5" w:rsidRPr="00653EA5" w:rsidRDefault="00251191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653EA5" w:rsidRPr="00653EA5" w14:paraId="32829D9F" w14:textId="77777777" w:rsidTr="00251191">
        <w:trPr>
          <w:trHeight w:val="300"/>
        </w:trPr>
        <w:tc>
          <w:tcPr>
            <w:tcW w:w="77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F4807DC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Student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workload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–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practical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activities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606F" w14:textId="77777777" w:rsidR="00653EA5" w:rsidRPr="00653EA5" w:rsidRDefault="00251191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502C" w14:textId="77777777" w:rsidR="00653EA5" w:rsidRPr="00653EA5" w:rsidRDefault="00251191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1,5</w:t>
            </w:r>
          </w:p>
        </w:tc>
      </w:tr>
      <w:tr w:rsidR="00653EA5" w:rsidRPr="00653EA5" w14:paraId="74A7D7F2" w14:textId="77777777" w:rsidTr="00251191">
        <w:trPr>
          <w:trHeight w:val="190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E5BD58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Basic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references</w:t>
            </w:r>
            <w:proofErr w:type="spellEnd"/>
          </w:p>
        </w:tc>
        <w:tc>
          <w:tcPr>
            <w:tcW w:w="8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DB7FB" w14:textId="77777777" w:rsidR="00653EA5" w:rsidRPr="00251191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Bhatti A. M.: Fundamental finite element analysis and </w:t>
            </w:r>
            <w:proofErr w:type="gram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applications :</w:t>
            </w:r>
            <w:proofErr w:type="gram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with Mathematica and Matlab computations. J. Wiley &amp; Sons, Hoboken, 2005.</w:t>
            </w: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 xml:space="preserve">Manassah J.  T.: Elementary mathematical and computational tools for eletrical and computer engineers using Matlab. CRC Press, Boca Raton, 2001. </w:t>
            </w: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 xml:space="preserve">Elsherbeni A. Z., Demir V.: The finite-difference time-domain method for electromagnetics with MATLAB simulations. SciTech Publishing, Raleigh, 2009. </w:t>
            </w: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 xml:space="preserve">Crow M.: Computational methods for electric power systems. </w:t>
            </w: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CRC Press, </w:t>
            </w:r>
            <w:proofErr w:type="spell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Boca</w:t>
            </w:r>
            <w:proofErr w:type="spell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Raton</w:t>
            </w:r>
            <w:proofErr w:type="spell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, 2003. </w:t>
            </w:r>
          </w:p>
        </w:tc>
      </w:tr>
      <w:tr w:rsidR="00653EA5" w:rsidRPr="00653EA5" w14:paraId="19C45EE6" w14:textId="77777777" w:rsidTr="00251191">
        <w:trPr>
          <w:trHeight w:val="2101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144EDB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Supplementary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references</w:t>
            </w:r>
            <w:proofErr w:type="spellEnd"/>
          </w:p>
        </w:tc>
        <w:tc>
          <w:tcPr>
            <w:tcW w:w="8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20FC9" w14:textId="77777777" w:rsidR="00653EA5" w:rsidRPr="00251191" w:rsidRDefault="00653EA5" w:rsidP="0025119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</w:pP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Hager G., Wellein G.: Introduction to high performance computing for scientists and engineers. CRC/Taylor &amp; Francis, Boca Raton, 2011.</w:t>
            </w: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 xml:space="preserve">Schafer M.: Computational </w:t>
            </w:r>
            <w:proofErr w:type="gram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engineering :</w:t>
            </w:r>
            <w:proofErr w:type="gram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introduction to numerical methods. Springer-Verlag, Berlin, 2006.</w:t>
            </w: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>Zienkiewicz O. C., Taylor R.L., Zhu J.Z.: The finite element method: its basis and fundamentals. Elsevier, Amsterdam, 2005.</w:t>
            </w:r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 xml:space="preserve">Taflove A.: Advances in computational </w:t>
            </w:r>
            <w:proofErr w:type="gram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electrodynamics :</w:t>
            </w:r>
            <w:proofErr w:type="gram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 xml:space="preserve"> the finite-difference time-domain method. </w:t>
            </w:r>
            <w:proofErr w:type="spellStart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>Artech</w:t>
            </w:r>
            <w:proofErr w:type="spellEnd"/>
            <w:r w:rsidRPr="00251191">
              <w:rPr>
                <w:rFonts w:ascii="Arial Narrow" w:eastAsia="Times New Roman" w:hAnsi="Arial Narrow" w:cs="Times New Roman"/>
                <w:bCs/>
                <w:color w:val="000000"/>
                <w:lang w:eastAsia="pl-PL"/>
              </w:rPr>
              <w:t xml:space="preserve"> House, London, 1998.</w:t>
            </w:r>
          </w:p>
        </w:tc>
      </w:tr>
      <w:tr w:rsidR="00653EA5" w:rsidRPr="00AE0874" w14:paraId="3FE45679" w14:textId="77777777" w:rsidTr="00251191">
        <w:trPr>
          <w:trHeight w:val="1124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795EF8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Organisational unit conducting the course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D1986" w14:textId="77777777" w:rsidR="00653EA5" w:rsidRPr="00251191" w:rsidRDefault="00251191" w:rsidP="002511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pl-PL"/>
              </w:rPr>
            </w:pPr>
            <w:r w:rsidRPr="002A1B8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Department </w:t>
            </w:r>
            <w:proofErr w:type="spellStart"/>
            <w:r w:rsidRPr="002A1B8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2A1B8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2A1B8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Electrotechnics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, Power Electronics and Power Engineering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14:paraId="470903D1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Date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issuing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the</w:t>
            </w:r>
            <w:proofErr w:type="spellEnd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programme</w:t>
            </w:r>
            <w:proofErr w:type="spellEnd"/>
          </w:p>
        </w:tc>
      </w:tr>
      <w:tr w:rsidR="00653EA5" w:rsidRPr="00653EA5" w14:paraId="0A48EED6" w14:textId="77777777" w:rsidTr="00251191">
        <w:trPr>
          <w:trHeight w:val="1116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D628DD" w14:textId="77777777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Author of the </w:t>
            </w:r>
            <w:proofErr w:type="spellStart"/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programme</w:t>
            </w:r>
            <w:proofErr w:type="spellEnd"/>
          </w:p>
        </w:tc>
        <w:tc>
          <w:tcPr>
            <w:tcW w:w="62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A7602" w14:textId="3DDAC9DE" w:rsidR="00653EA5" w:rsidRPr="00653EA5" w:rsidRDefault="00653EA5" w:rsidP="00653E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25119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Boguslaw</w:t>
            </w:r>
            <w:proofErr w:type="spellEnd"/>
            <w:r w:rsidRPr="0025119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5119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Butrylo</w:t>
            </w:r>
            <w:proofErr w:type="spellEnd"/>
            <w:r w:rsidRPr="00251191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, D.Sc., Ph.D., Assoc. </w:t>
            </w: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Prof.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E0EC3" w14:textId="0B17D8E4" w:rsidR="00653EA5" w:rsidRPr="00653EA5" w:rsidRDefault="00653EA5" w:rsidP="00AE08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20</w:t>
            </w:r>
            <w:r w:rsidR="00BE1F53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23</w:t>
            </w: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-</w:t>
            </w:r>
            <w:r w:rsidR="00BE1F53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02</w:t>
            </w:r>
            <w:r w:rsidRPr="00653EA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-</w:t>
            </w:r>
            <w:r w:rsidR="00BE1F53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05</w:t>
            </w:r>
          </w:p>
        </w:tc>
      </w:tr>
    </w:tbl>
    <w:p w14:paraId="2AFF50B9" w14:textId="77777777" w:rsidR="00881724" w:rsidRPr="00251191" w:rsidRDefault="00000000">
      <w:pPr>
        <w:rPr>
          <w:lang w:val="en-US"/>
        </w:rPr>
      </w:pPr>
    </w:p>
    <w:sectPr w:rsidR="00881724" w:rsidRPr="00251191" w:rsidSect="0077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A5"/>
    <w:rsid w:val="00062A3D"/>
    <w:rsid w:val="00251191"/>
    <w:rsid w:val="00367C6F"/>
    <w:rsid w:val="004710E3"/>
    <w:rsid w:val="00503EA1"/>
    <w:rsid w:val="00575251"/>
    <w:rsid w:val="005F7616"/>
    <w:rsid w:val="00653EA5"/>
    <w:rsid w:val="00680811"/>
    <w:rsid w:val="006D00F1"/>
    <w:rsid w:val="00770276"/>
    <w:rsid w:val="00AB2415"/>
    <w:rsid w:val="00AE0874"/>
    <w:rsid w:val="00B22DC0"/>
    <w:rsid w:val="00BE1F53"/>
    <w:rsid w:val="00D30C6C"/>
    <w:rsid w:val="00D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1A76"/>
  <w15:docId w15:val="{2E0A4DB7-BF73-4BE0-B461-1E64A5AA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276"/>
  </w:style>
  <w:style w:type="paragraph" w:styleId="Nagwek3">
    <w:name w:val="heading 3"/>
    <w:basedOn w:val="Normalny"/>
    <w:link w:val="Nagwek3Znak"/>
    <w:uiPriority w:val="9"/>
    <w:qFormat/>
    <w:rsid w:val="00251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11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E76F-931D-4BBC-A6E8-B804CE26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 Piwnik</dc:creator>
  <cp:lastModifiedBy>Bogusław Butryło</cp:lastModifiedBy>
  <cp:revision>7</cp:revision>
  <dcterms:created xsi:type="dcterms:W3CDTF">2020-04-01T09:36:00Z</dcterms:created>
  <dcterms:modified xsi:type="dcterms:W3CDTF">2023-02-05T18:09:00Z</dcterms:modified>
</cp:coreProperties>
</file>